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0F" w:rsidRDefault="00437A0F" w:rsidP="00AA55A2">
      <w:pPr>
        <w:pStyle w:val="2"/>
        <w:rPr>
          <w:lang w:val="en-US"/>
        </w:rPr>
      </w:pPr>
    </w:p>
    <w:p w:rsidR="00437A0F" w:rsidRDefault="00437A0F" w:rsidP="00437A0F">
      <w:pPr>
        <w:rPr>
          <w:lang w:val="en-US"/>
        </w:rPr>
      </w:pPr>
    </w:p>
    <w:p w:rsidR="00437A0F" w:rsidRDefault="00437A0F" w:rsidP="00437A0F">
      <w:r>
        <w:t>ΣΥΝΤΟΝΙΣΤΙΚΗ ΕΠΙΤΡΟΠΗ</w:t>
      </w:r>
    </w:p>
    <w:p w:rsidR="00437A0F" w:rsidRDefault="00437A0F" w:rsidP="00437A0F">
      <w:r>
        <w:t>ΔΙΚΗΓΟΡΙΚΩΝ ΣΥΛΛΟΓΩΝ ΕΛΛΑΔΟΣ</w:t>
      </w:r>
    </w:p>
    <w:p w:rsidR="00B35D71" w:rsidRDefault="00B35D71" w:rsidP="00437A0F"/>
    <w:p w:rsidR="00B35D71" w:rsidRDefault="00B35D71" w:rsidP="00437A0F">
      <w:r>
        <w:t xml:space="preserve">                                                  ΔΕΛΤΙΟ ΤΥΠΟΥ</w:t>
      </w:r>
    </w:p>
    <w:p w:rsidR="00437A0F" w:rsidRPr="00437A0F" w:rsidRDefault="00437A0F" w:rsidP="00437A0F">
      <w:r>
        <w:t xml:space="preserve">                                                                              Αθήνα, 21/4/2017</w:t>
      </w:r>
    </w:p>
    <w:p w:rsidR="00437A0F" w:rsidRPr="00437A0F" w:rsidRDefault="00437A0F" w:rsidP="00AA55A2">
      <w:pPr>
        <w:pStyle w:val="2"/>
      </w:pPr>
    </w:p>
    <w:p w:rsidR="00AA55A2" w:rsidRDefault="00AA55A2" w:rsidP="00AA55A2">
      <w:pPr>
        <w:pStyle w:val="2"/>
      </w:pPr>
      <w:r>
        <w:t>Νομικά ζητήμ</w:t>
      </w:r>
      <w:bookmarkStart w:id="0" w:name="_GoBack"/>
      <w:bookmarkEnd w:id="0"/>
      <w:r>
        <w:t xml:space="preserve">ατα </w:t>
      </w:r>
      <w:r w:rsidR="00E93F3A">
        <w:t xml:space="preserve">από την </w:t>
      </w:r>
      <w:r>
        <w:t xml:space="preserve">καθιέρωση </w:t>
      </w:r>
      <w:r w:rsidR="00E93F3A">
        <w:t xml:space="preserve">υποχρεωτικής τοποθέτησης και χρήσης </w:t>
      </w:r>
      <w:r>
        <w:rPr>
          <w:lang w:val="en-US"/>
        </w:rPr>
        <w:t>POS</w:t>
      </w:r>
      <w:r w:rsidRPr="00AA55A2">
        <w:t xml:space="preserve"> </w:t>
      </w:r>
      <w:r w:rsidR="00E93F3A">
        <w:t>από δικηγόρους</w:t>
      </w:r>
    </w:p>
    <w:p w:rsidR="00AA55A2" w:rsidRDefault="00AA55A2" w:rsidP="008F0B7D">
      <w:pPr>
        <w:jc w:val="both"/>
      </w:pPr>
    </w:p>
    <w:p w:rsidR="00AA55A2" w:rsidRDefault="00AA55A2" w:rsidP="008F0B7D">
      <w:pPr>
        <w:jc w:val="both"/>
      </w:pPr>
    </w:p>
    <w:p w:rsidR="004165F5" w:rsidRPr="002843C4" w:rsidRDefault="009A2091" w:rsidP="008F0B7D">
      <w:pPr>
        <w:jc w:val="both"/>
      </w:pPr>
      <w:r w:rsidRPr="002843C4">
        <w:t>Όπως είναι γνωστό</w:t>
      </w:r>
      <w:r w:rsidR="008F0B7D" w:rsidRPr="002843C4">
        <w:t>,</w:t>
      </w:r>
      <w:r w:rsidRPr="002843C4">
        <w:t xml:space="preserve"> στις </w:t>
      </w:r>
      <w:r w:rsidR="008F0B7D" w:rsidRPr="002843C4">
        <w:t>13 Απριλίου 2017  το Υπουργείο Ο</w:t>
      </w:r>
      <w:r w:rsidRPr="002843C4">
        <w:t xml:space="preserve">ικονομικών εξέδωσε δελτίο τύπου σύμφωνα με το οποίο </w:t>
      </w:r>
      <w:r w:rsidR="008F0B7D" w:rsidRPr="002843C4">
        <w:t xml:space="preserve">φέρεται να </w:t>
      </w:r>
      <w:r w:rsidRPr="002843C4">
        <w:t>υπογράφηκε</w:t>
      </w:r>
      <w:r w:rsidR="008F0B7D" w:rsidRPr="002843C4">
        <w:t xml:space="preserve"> η Κοινή Υπουργική Απόφαση των Υπουργείων Οικονομικών και Ο</w:t>
      </w:r>
      <w:r w:rsidRPr="002843C4">
        <w:t>ικονομίας</w:t>
      </w:r>
      <w:r w:rsidR="00D847C6">
        <w:t xml:space="preserve"> και Ανάπτυξης,</w:t>
      </w:r>
      <w:r w:rsidR="00BF4F06" w:rsidRPr="002843C4">
        <w:t xml:space="preserve"> με την οποία καθορίζονται οι κατηγορίες επαγγελματιών και επιχειρήσεων που υποχρεούνται εντός </w:t>
      </w:r>
      <w:r w:rsidR="00DA4BDA" w:rsidRPr="002843C4">
        <w:t>3 μηνών να εγκαταστήσουν</w:t>
      </w:r>
      <w:r w:rsidR="00BF4F06" w:rsidRPr="002843C4">
        <w:t xml:space="preserve"> </w:t>
      </w:r>
      <w:r w:rsidR="00DA4BDA" w:rsidRPr="002843C4">
        <w:t>POS</w:t>
      </w:r>
      <w:r w:rsidR="00BF4F06" w:rsidRPr="002843C4">
        <w:t xml:space="preserve"> και να </w:t>
      </w:r>
      <w:r w:rsidR="00DA4BDA" w:rsidRPr="002843C4">
        <w:t>απο</w:t>
      </w:r>
      <w:r w:rsidR="00BF4F06" w:rsidRPr="002843C4">
        <w:t xml:space="preserve">δέχονται μέσα πληρωμής με κάρτα σύμφωνα με τις διατάξεις του νόμου </w:t>
      </w:r>
      <w:r w:rsidR="00D847C6">
        <w:rPr>
          <w:b/>
        </w:rPr>
        <w:t>4446/201</w:t>
      </w:r>
      <w:r w:rsidR="00BF4F06" w:rsidRPr="002843C4">
        <w:rPr>
          <w:b/>
        </w:rPr>
        <w:t>6.</w:t>
      </w:r>
      <w:r w:rsidR="00BF4F06" w:rsidRPr="002843C4">
        <w:t xml:space="preserve"> </w:t>
      </w:r>
    </w:p>
    <w:p w:rsidR="00BF4F06" w:rsidRPr="002843C4" w:rsidRDefault="00BF4F06" w:rsidP="008F0B7D">
      <w:pPr>
        <w:jc w:val="both"/>
      </w:pPr>
    </w:p>
    <w:p w:rsidR="00BF4F06" w:rsidRPr="002843C4" w:rsidRDefault="00BF4F06" w:rsidP="008F0B7D">
      <w:pPr>
        <w:jc w:val="both"/>
      </w:pPr>
      <w:r w:rsidRPr="002843C4">
        <w:t xml:space="preserve">Μεταξύ των αναφερόμενων κωδικών  αριθμών δραστηριότητας  συμπεριλαμβάνονται  οι </w:t>
      </w:r>
      <w:r w:rsidRPr="002843C4">
        <w:rPr>
          <w:b/>
        </w:rPr>
        <w:t>νομικές δραστηριότητες</w:t>
      </w:r>
      <w:r w:rsidR="00DA4BDA" w:rsidRPr="002843C4">
        <w:t xml:space="preserve"> (</w:t>
      </w:r>
      <w:r w:rsidRPr="002843C4">
        <w:t xml:space="preserve">ΚΑΔ 69.10). </w:t>
      </w:r>
    </w:p>
    <w:p w:rsidR="00BF4F06" w:rsidRPr="002843C4" w:rsidRDefault="00BF4F06" w:rsidP="008F0B7D">
      <w:pPr>
        <w:jc w:val="both"/>
      </w:pPr>
    </w:p>
    <w:p w:rsidR="00BF4F06" w:rsidRPr="002843C4" w:rsidRDefault="00BF4F06" w:rsidP="008F0B7D">
      <w:pPr>
        <w:jc w:val="both"/>
      </w:pPr>
      <w:r w:rsidRPr="002843C4">
        <w:t xml:space="preserve">Παρά το ότι αναζητήθηκε το σώμα της απόφασης </w:t>
      </w:r>
      <w:r w:rsidR="00DA4BDA" w:rsidRPr="002843C4">
        <w:t>και εστάλη</w:t>
      </w:r>
      <w:r w:rsidRPr="002843C4">
        <w:t xml:space="preserve"> σχετικό ερώτημα στην </w:t>
      </w:r>
      <w:r w:rsidR="00DA4BDA" w:rsidRPr="002843C4">
        <w:t>αρμόδια Υφυπουργό</w:t>
      </w:r>
      <w:r w:rsidRPr="002843C4">
        <w:t xml:space="preserve">,  εντούτοις δεν </w:t>
      </w:r>
      <w:r w:rsidR="00DA4BDA" w:rsidRPr="002843C4">
        <w:t>εστάλη αρμοδίως από το Υ</w:t>
      </w:r>
      <w:r w:rsidRPr="002843C4">
        <w:t xml:space="preserve">πουργείο </w:t>
      </w:r>
      <w:r w:rsidR="00DA4BDA" w:rsidRPr="002843C4">
        <w:t>Ο</w:t>
      </w:r>
      <w:r w:rsidRPr="002843C4">
        <w:t xml:space="preserve">ικονομικών. </w:t>
      </w:r>
    </w:p>
    <w:p w:rsidR="00BF4F06" w:rsidRPr="002843C4" w:rsidRDefault="00BF4F06" w:rsidP="008F0B7D">
      <w:pPr>
        <w:jc w:val="both"/>
      </w:pPr>
    </w:p>
    <w:p w:rsidR="00BF4F06" w:rsidRPr="002843C4" w:rsidRDefault="00090EB7" w:rsidP="008F0B7D">
      <w:pPr>
        <w:jc w:val="both"/>
      </w:pPr>
      <w:r>
        <w:t>Επισημαίνεται ότι γ</w:t>
      </w:r>
      <w:r w:rsidR="00BF4F06" w:rsidRPr="002843C4">
        <w:t>ια όσο χρόνο η Κοινή Υπουργική Από</w:t>
      </w:r>
      <w:r w:rsidR="002843C4" w:rsidRPr="002843C4">
        <w:t>φαση δεν έχει δημοσιευθεί στην Ε</w:t>
      </w:r>
      <w:r w:rsidR="00BF4F06" w:rsidRPr="002843C4">
        <w:t>φημερίδα της</w:t>
      </w:r>
      <w:r w:rsidR="002843C4" w:rsidRPr="002843C4">
        <w:t xml:space="preserve"> Κ</w:t>
      </w:r>
      <w:r w:rsidR="00BF4F06" w:rsidRPr="002843C4">
        <w:t>υβέρνησης</w:t>
      </w:r>
      <w:r w:rsidR="002843C4" w:rsidRPr="002843C4">
        <w:t xml:space="preserve">  είναι ανυπόστατη,   καθώς η</w:t>
      </w:r>
      <w:r w:rsidR="00BF4F06" w:rsidRPr="002843C4">
        <w:t xml:space="preserve"> νόμιμη δημοσίευση αποτελεί </w:t>
      </w:r>
      <w:r w:rsidR="00BF4F06" w:rsidRPr="002843C4">
        <w:rPr>
          <w:b/>
        </w:rPr>
        <w:t xml:space="preserve">όρο </w:t>
      </w:r>
      <w:r w:rsidR="002843C4" w:rsidRPr="002843C4">
        <w:rPr>
          <w:b/>
        </w:rPr>
        <w:t>του υποστατού</w:t>
      </w:r>
      <w:r w:rsidR="00BF4F06" w:rsidRPr="002843C4">
        <w:t xml:space="preserve"> των </w:t>
      </w:r>
      <w:r w:rsidR="002843C4" w:rsidRPr="002843C4">
        <w:t>κανονιστικών διοικητικών</w:t>
      </w:r>
      <w:r w:rsidR="00BF4F06" w:rsidRPr="002843C4">
        <w:t xml:space="preserve"> πράξεων. </w:t>
      </w:r>
    </w:p>
    <w:p w:rsidR="00BF4F06" w:rsidRPr="002843C4" w:rsidRDefault="00BF4F06" w:rsidP="008F0B7D">
      <w:pPr>
        <w:jc w:val="both"/>
      </w:pPr>
    </w:p>
    <w:p w:rsidR="00BF4F06" w:rsidRPr="002843C4" w:rsidRDefault="00BF4F06" w:rsidP="008F0B7D">
      <w:pPr>
        <w:jc w:val="both"/>
      </w:pPr>
      <w:r w:rsidRPr="002843C4">
        <w:t>Είναι αυτονόητο</w:t>
      </w:r>
      <w:r w:rsidR="002843C4" w:rsidRPr="002843C4">
        <w:t xml:space="preserve"> ότι προκειμένου να ελεγχθεί η</w:t>
      </w:r>
      <w:r w:rsidRPr="002843C4">
        <w:t xml:space="preserve"> νομιμότητα της </w:t>
      </w:r>
      <w:r w:rsidR="002843C4" w:rsidRPr="002843C4">
        <w:t>διοικητικής</w:t>
      </w:r>
      <w:r w:rsidRPr="002843C4">
        <w:t xml:space="preserve"> πράξης</w:t>
      </w:r>
      <w:r w:rsidR="002843C4" w:rsidRPr="002843C4">
        <w:t xml:space="preserve"> θα πρέπει να λάβου</w:t>
      </w:r>
      <w:r w:rsidRPr="002843C4">
        <w:t>με γνώση</w:t>
      </w:r>
      <w:r w:rsidR="007E71DE" w:rsidRPr="002843C4">
        <w:t xml:space="preserve"> του πλήρους κειμένου αυτής</w:t>
      </w:r>
      <w:r w:rsidR="00846F0B">
        <w:t>,</w:t>
      </w:r>
      <w:r w:rsidR="007E71DE" w:rsidRPr="002843C4">
        <w:t xml:space="preserve"> και ιδίως του αναφερόμενου εξουσιοδοτικού ερείσματος καθώς και το</w:t>
      </w:r>
      <w:r w:rsidR="002843C4" w:rsidRPr="002843C4">
        <w:t>υ</w:t>
      </w:r>
      <w:r w:rsidR="007E71DE" w:rsidRPr="002843C4">
        <w:t xml:space="preserve"> </w:t>
      </w:r>
      <w:r w:rsidR="00D847C6">
        <w:t>περιεχομένου</w:t>
      </w:r>
      <w:r w:rsidR="007E71DE" w:rsidRPr="002843C4">
        <w:t xml:space="preserve"> των ρυθμίσεων της. </w:t>
      </w:r>
    </w:p>
    <w:p w:rsidR="007E71DE" w:rsidRPr="002843C4" w:rsidRDefault="007E71DE" w:rsidP="008F0B7D">
      <w:pPr>
        <w:jc w:val="both"/>
      </w:pPr>
    </w:p>
    <w:p w:rsidR="007E71DE" w:rsidRPr="002843C4" w:rsidRDefault="007E71DE" w:rsidP="008F0B7D">
      <w:pPr>
        <w:jc w:val="both"/>
      </w:pPr>
      <w:r w:rsidRPr="002843C4">
        <w:t>Επισημαίνονται</w:t>
      </w:r>
      <w:r w:rsidR="00D847C6">
        <w:t>,</w:t>
      </w:r>
      <w:r w:rsidRPr="002843C4">
        <w:t xml:space="preserve"> </w:t>
      </w:r>
      <w:proofErr w:type="spellStart"/>
      <w:r w:rsidR="002843C4" w:rsidRPr="002843C4">
        <w:t>προκαταρκτικώς</w:t>
      </w:r>
      <w:proofErr w:type="spellEnd"/>
      <w:r w:rsidR="00D847C6">
        <w:t>,</w:t>
      </w:r>
      <w:r w:rsidRPr="002843C4">
        <w:t xml:space="preserve"> τα ακόλου</w:t>
      </w:r>
      <w:r w:rsidR="002843C4" w:rsidRPr="002843C4">
        <w:t>θα νομικά ζητήματα που εγείρει η</w:t>
      </w:r>
      <w:r w:rsidRPr="002843C4">
        <w:t xml:space="preserve"> έκδοση της επίμαχης </w:t>
      </w:r>
      <w:r w:rsidR="002843C4" w:rsidRPr="002843C4">
        <w:t>ΚΥΑ</w:t>
      </w:r>
      <w:r w:rsidR="00D847C6">
        <w:t xml:space="preserve"> σε </w:t>
      </w:r>
      <w:proofErr w:type="spellStart"/>
      <w:r w:rsidR="00D847C6">
        <w:t>ό,τι</w:t>
      </w:r>
      <w:proofErr w:type="spellEnd"/>
      <w:r w:rsidR="00D847C6">
        <w:t xml:space="preserve"> αφορά ειδικώς την υποχρεωτική υπαγωγή των δικηγόρων</w:t>
      </w:r>
      <w:r w:rsidRPr="002843C4">
        <w:t xml:space="preserve">: </w:t>
      </w:r>
    </w:p>
    <w:p w:rsidR="007E71DE" w:rsidRPr="002843C4" w:rsidRDefault="007E71DE" w:rsidP="008F0B7D">
      <w:pPr>
        <w:jc w:val="both"/>
      </w:pPr>
    </w:p>
    <w:p w:rsidR="00A65B69" w:rsidRPr="002843C4" w:rsidRDefault="007E71DE" w:rsidP="002843C4">
      <w:pPr>
        <w:pStyle w:val="a3"/>
        <w:numPr>
          <w:ilvl w:val="0"/>
          <w:numId w:val="1"/>
        </w:numPr>
        <w:jc w:val="both"/>
        <w:rPr>
          <w:rFonts w:eastAsia="Times New Roman" w:cs="Times New Roman"/>
          <w:color w:val="000000"/>
          <w:lang w:eastAsia="el-GR"/>
        </w:rPr>
      </w:pPr>
      <w:r w:rsidRPr="002843C4">
        <w:t xml:space="preserve">Το άρθρο 65 </w:t>
      </w:r>
      <w:r w:rsidR="00A65B69" w:rsidRPr="002843C4">
        <w:t xml:space="preserve">παρ. 1 </w:t>
      </w:r>
      <w:r w:rsidRPr="002843C4">
        <w:t>του νόμου 4446/ 2006 προβλέπει ότι «</w:t>
      </w:r>
      <w:r w:rsidR="00A65B69" w:rsidRPr="002843C4">
        <w:rPr>
          <w:rFonts w:eastAsia="Times New Roman" w:cs="Times New Roman"/>
          <w:i/>
          <w:color w:val="000000"/>
          <w:lang w:eastAsia="el-GR"/>
        </w:rPr>
        <w:t>1. Οι δικαιούχοι πληρωμής, στο πλαίσιο των συναλλαγών τους με καταναλωτές, υποχρεούνται, εντός ορισμένης προθεσμίας και ανάλογα με τον κύριο Κωδικό Αριθμό Δραστηριότητάς τους (ΚΑΔ), να αποδέχονται μέσα πληρωμής με κάρτα για την ολοκλήρωση των πράξεων πληρωμής</w:t>
      </w:r>
      <w:r w:rsidR="00A65B69" w:rsidRPr="002843C4">
        <w:rPr>
          <w:rFonts w:eastAsia="Times New Roman" w:cs="Times New Roman"/>
          <w:color w:val="000000"/>
          <w:lang w:eastAsia="el-GR"/>
        </w:rPr>
        <w:t>».</w:t>
      </w:r>
    </w:p>
    <w:p w:rsidR="00A65B69" w:rsidRPr="002843C4" w:rsidRDefault="00A65B69" w:rsidP="008F0B7D">
      <w:pPr>
        <w:jc w:val="both"/>
        <w:rPr>
          <w:rFonts w:eastAsia="Times New Roman" w:cs="Times New Roman"/>
          <w:color w:val="000000"/>
          <w:lang w:eastAsia="el-GR"/>
        </w:rPr>
      </w:pPr>
    </w:p>
    <w:p w:rsidR="00A65B69" w:rsidRPr="002843C4" w:rsidRDefault="00A65B69" w:rsidP="008F0B7D">
      <w:pPr>
        <w:jc w:val="both"/>
        <w:rPr>
          <w:rFonts w:eastAsia="Times New Roman" w:cs="Times New Roman"/>
          <w:color w:val="000000"/>
          <w:lang w:eastAsia="el-GR"/>
        </w:rPr>
      </w:pPr>
      <w:r w:rsidRPr="002843C4">
        <w:rPr>
          <w:rFonts w:eastAsia="Times New Roman" w:cs="Times New Roman"/>
          <w:color w:val="000000"/>
          <w:lang w:eastAsia="el-GR"/>
        </w:rPr>
        <w:lastRenderedPageBreak/>
        <w:t xml:space="preserve">Επομένως,  το πεδίο εφαρμογής του νόμου περιορίζεται στις συναλλαγές με </w:t>
      </w:r>
      <w:r w:rsidRPr="002843C4">
        <w:rPr>
          <w:rFonts w:eastAsia="Times New Roman" w:cs="Times New Roman"/>
          <w:b/>
          <w:color w:val="000000"/>
          <w:lang w:eastAsia="el-GR"/>
        </w:rPr>
        <w:t>καταναλωτές</w:t>
      </w:r>
      <w:r w:rsidRPr="002843C4">
        <w:rPr>
          <w:rFonts w:eastAsia="Times New Roman" w:cs="Times New Roman"/>
          <w:color w:val="000000"/>
          <w:lang w:eastAsia="el-GR"/>
        </w:rPr>
        <w:t>. Δεν υπάρχει</w:t>
      </w:r>
      <w:r w:rsidR="002843C4">
        <w:rPr>
          <w:rFonts w:eastAsia="Times New Roman" w:cs="Times New Roman"/>
          <w:color w:val="000000"/>
          <w:lang w:eastAsia="el-GR"/>
        </w:rPr>
        <w:t>,</w:t>
      </w:r>
      <w:r w:rsidRPr="002843C4">
        <w:rPr>
          <w:rFonts w:eastAsia="Times New Roman" w:cs="Times New Roman"/>
          <w:color w:val="000000"/>
          <w:lang w:eastAsia="el-GR"/>
        </w:rPr>
        <w:t xml:space="preserve"> δηλαδή</w:t>
      </w:r>
      <w:r w:rsidR="002843C4">
        <w:rPr>
          <w:rFonts w:eastAsia="Times New Roman" w:cs="Times New Roman"/>
          <w:color w:val="000000"/>
          <w:lang w:eastAsia="el-GR"/>
        </w:rPr>
        <w:t>,</w:t>
      </w:r>
      <w:r w:rsidRPr="002843C4">
        <w:rPr>
          <w:rFonts w:eastAsia="Times New Roman" w:cs="Times New Roman"/>
          <w:color w:val="000000"/>
          <w:lang w:eastAsia="el-GR"/>
        </w:rPr>
        <w:t xml:space="preserve"> αμφιβολία ότι εξαιρούνται από το πεδίο εφαρμογής του νόμου</w:t>
      </w:r>
      <w:r w:rsidR="008E79DD" w:rsidRPr="002843C4">
        <w:rPr>
          <w:rFonts w:eastAsia="Times New Roman" w:cs="Times New Roman"/>
          <w:color w:val="000000"/>
          <w:lang w:eastAsia="el-GR"/>
        </w:rPr>
        <w:t xml:space="preserve"> οι συναλλαγές οι οποίες </w:t>
      </w:r>
      <w:r w:rsidR="002843C4">
        <w:rPr>
          <w:rFonts w:eastAsia="Times New Roman" w:cs="Times New Roman"/>
          <w:color w:val="000000"/>
          <w:lang w:eastAsia="el-GR"/>
        </w:rPr>
        <w:t>εμπίπτουν</w:t>
      </w:r>
      <w:r w:rsidR="008E79DD" w:rsidRPr="002843C4">
        <w:rPr>
          <w:rFonts w:eastAsia="Times New Roman" w:cs="Times New Roman"/>
          <w:color w:val="000000"/>
          <w:lang w:eastAsia="el-GR"/>
        </w:rPr>
        <w:t xml:space="preserve"> στην εμπορική</w:t>
      </w:r>
      <w:r w:rsidR="002843C4">
        <w:rPr>
          <w:rFonts w:eastAsia="Times New Roman" w:cs="Times New Roman"/>
          <w:color w:val="000000"/>
          <w:lang w:eastAsia="el-GR"/>
        </w:rPr>
        <w:t>,</w:t>
      </w:r>
      <w:r w:rsidR="008E79DD" w:rsidRPr="002843C4">
        <w:rPr>
          <w:rFonts w:eastAsia="Times New Roman" w:cs="Times New Roman"/>
          <w:color w:val="000000"/>
          <w:lang w:eastAsia="el-GR"/>
        </w:rPr>
        <w:t xml:space="preserve"> </w:t>
      </w:r>
      <w:r w:rsidR="002843C4">
        <w:rPr>
          <w:rFonts w:eastAsia="Times New Roman" w:cs="Times New Roman"/>
          <w:color w:val="000000"/>
          <w:lang w:eastAsia="el-GR"/>
        </w:rPr>
        <w:t>επιχειρηματική ή</w:t>
      </w:r>
      <w:r w:rsidR="008E79DD" w:rsidRPr="002843C4">
        <w:rPr>
          <w:rFonts w:eastAsia="Times New Roman" w:cs="Times New Roman"/>
          <w:color w:val="000000"/>
          <w:lang w:eastAsia="el-GR"/>
        </w:rPr>
        <w:t xml:space="preserve"> επαγγελματική δραστηριότητα του λήπτη της υπηρεσίας. </w:t>
      </w:r>
    </w:p>
    <w:p w:rsidR="008E79DD" w:rsidRPr="002843C4" w:rsidRDefault="008E79DD" w:rsidP="008F0B7D">
      <w:pPr>
        <w:jc w:val="both"/>
        <w:rPr>
          <w:rFonts w:eastAsia="Times New Roman" w:cs="Times New Roman"/>
          <w:color w:val="000000"/>
          <w:lang w:eastAsia="el-GR"/>
        </w:rPr>
      </w:pPr>
    </w:p>
    <w:p w:rsidR="00A65B69" w:rsidRPr="002843C4" w:rsidRDefault="008E79DD" w:rsidP="002843C4">
      <w:pPr>
        <w:pStyle w:val="a3"/>
        <w:numPr>
          <w:ilvl w:val="0"/>
          <w:numId w:val="1"/>
        </w:numPr>
        <w:jc w:val="both"/>
        <w:rPr>
          <w:rFonts w:eastAsia="Times New Roman" w:cs="Times New Roman"/>
          <w:color w:val="000000"/>
          <w:lang w:eastAsia="el-GR"/>
        </w:rPr>
      </w:pPr>
      <w:r w:rsidRPr="002843C4">
        <w:rPr>
          <w:rFonts w:eastAsia="Times New Roman" w:cs="Times New Roman"/>
          <w:color w:val="000000"/>
          <w:lang w:eastAsia="el-GR"/>
        </w:rPr>
        <w:t>Περαιτέρω</w:t>
      </w:r>
      <w:r w:rsidR="002843C4">
        <w:rPr>
          <w:rFonts w:eastAsia="Times New Roman" w:cs="Times New Roman"/>
          <w:color w:val="000000"/>
          <w:lang w:eastAsia="el-GR"/>
        </w:rPr>
        <w:t>,</w:t>
      </w:r>
      <w:r w:rsidRPr="002843C4">
        <w:rPr>
          <w:rFonts w:eastAsia="Times New Roman" w:cs="Times New Roman"/>
          <w:color w:val="000000"/>
          <w:lang w:eastAsia="el-GR"/>
        </w:rPr>
        <w:t xml:space="preserve"> κατά την παροχή </w:t>
      </w:r>
      <w:r w:rsidR="002843C4">
        <w:rPr>
          <w:rFonts w:eastAsia="Times New Roman" w:cs="Times New Roman"/>
          <w:color w:val="000000"/>
          <w:lang w:eastAsia="el-GR"/>
        </w:rPr>
        <w:t>δικηγορικών</w:t>
      </w:r>
      <w:r w:rsidRPr="002843C4">
        <w:rPr>
          <w:rFonts w:eastAsia="Times New Roman" w:cs="Times New Roman"/>
          <w:color w:val="000000"/>
          <w:lang w:eastAsia="el-GR"/>
        </w:rPr>
        <w:t xml:space="preserve"> υπηρεσιών</w:t>
      </w:r>
      <w:r w:rsidR="002843C4">
        <w:rPr>
          <w:rFonts w:eastAsia="Times New Roman" w:cs="Times New Roman"/>
          <w:color w:val="000000"/>
          <w:lang w:eastAsia="el-GR"/>
        </w:rPr>
        <w:t xml:space="preserve"> ο</w:t>
      </w:r>
      <w:r w:rsidRPr="002843C4">
        <w:rPr>
          <w:rFonts w:eastAsia="Times New Roman" w:cs="Times New Roman"/>
          <w:color w:val="000000"/>
          <w:lang w:eastAsia="el-GR"/>
        </w:rPr>
        <w:t xml:space="preserve"> δικηγόρος έχει </w:t>
      </w:r>
      <w:r w:rsidRPr="002843C4">
        <w:rPr>
          <w:rFonts w:eastAsia="Times New Roman" w:cs="Times New Roman"/>
          <w:b/>
          <w:color w:val="000000"/>
          <w:lang w:eastAsia="el-GR"/>
        </w:rPr>
        <w:t>σχέση εντολής</w:t>
      </w:r>
      <w:r w:rsidRPr="002843C4">
        <w:rPr>
          <w:rFonts w:eastAsia="Times New Roman" w:cs="Times New Roman"/>
          <w:color w:val="000000"/>
          <w:lang w:eastAsia="el-GR"/>
        </w:rPr>
        <w:t xml:space="preserve"> με τον εντολέα του. Ο λήπτης, δηλαδή, των νομικών υπηρεσιών  δεν είναι καταναλωτής και αντιστοίχως ο δικηγόρος κατά την παροχή των υπηρεσιών δεν είναι </w:t>
      </w:r>
      <w:r w:rsidR="00D847C6">
        <w:rPr>
          <w:rFonts w:eastAsia="Times New Roman" w:cs="Times New Roman"/>
          <w:color w:val="000000"/>
          <w:lang w:eastAsia="el-GR"/>
        </w:rPr>
        <w:t>«</w:t>
      </w:r>
      <w:r w:rsidRPr="002843C4">
        <w:rPr>
          <w:rFonts w:eastAsia="Times New Roman" w:cs="Times New Roman"/>
          <w:color w:val="000000"/>
          <w:lang w:eastAsia="el-GR"/>
        </w:rPr>
        <w:t>προμηθευτής</w:t>
      </w:r>
      <w:r w:rsidR="00D847C6">
        <w:rPr>
          <w:rFonts w:eastAsia="Times New Roman" w:cs="Times New Roman"/>
          <w:color w:val="000000"/>
          <w:lang w:eastAsia="el-GR"/>
        </w:rPr>
        <w:t>»</w:t>
      </w:r>
      <w:r w:rsidRPr="002843C4">
        <w:rPr>
          <w:rFonts w:eastAsia="Times New Roman" w:cs="Times New Roman"/>
          <w:color w:val="000000"/>
          <w:lang w:eastAsia="el-GR"/>
        </w:rPr>
        <w:t xml:space="preserve"> εν τη </w:t>
      </w:r>
      <w:proofErr w:type="spellStart"/>
      <w:r w:rsidRPr="002843C4">
        <w:rPr>
          <w:rFonts w:eastAsia="Times New Roman" w:cs="Times New Roman"/>
          <w:color w:val="000000"/>
          <w:lang w:eastAsia="el-GR"/>
        </w:rPr>
        <w:t>εννοία</w:t>
      </w:r>
      <w:proofErr w:type="spellEnd"/>
      <w:r w:rsidRPr="002843C4">
        <w:rPr>
          <w:rFonts w:eastAsia="Times New Roman" w:cs="Times New Roman"/>
          <w:color w:val="000000"/>
          <w:lang w:eastAsia="el-GR"/>
        </w:rPr>
        <w:t xml:space="preserve"> της νομοθεσίας περί προστασίας </w:t>
      </w:r>
      <w:r w:rsidR="002843C4" w:rsidRPr="002843C4">
        <w:rPr>
          <w:rFonts w:eastAsia="Times New Roman" w:cs="Times New Roman"/>
          <w:color w:val="000000"/>
          <w:lang w:eastAsia="el-GR"/>
        </w:rPr>
        <w:t>καταναλωτών</w:t>
      </w:r>
      <w:r w:rsidRPr="002843C4">
        <w:rPr>
          <w:rFonts w:eastAsia="Times New Roman" w:cs="Times New Roman"/>
          <w:color w:val="000000"/>
          <w:lang w:eastAsia="el-GR"/>
        </w:rPr>
        <w:t xml:space="preserve">. </w:t>
      </w:r>
    </w:p>
    <w:p w:rsidR="008E79DD" w:rsidRPr="002843C4" w:rsidRDefault="008E79DD" w:rsidP="008F0B7D">
      <w:pPr>
        <w:jc w:val="both"/>
        <w:rPr>
          <w:rFonts w:eastAsia="Times New Roman" w:cs="Times New Roman"/>
          <w:color w:val="000000"/>
          <w:lang w:eastAsia="el-GR"/>
        </w:rPr>
      </w:pPr>
    </w:p>
    <w:p w:rsidR="007E71DE" w:rsidRPr="002843C4" w:rsidRDefault="008E79DD" w:rsidP="008F0B7D">
      <w:pPr>
        <w:jc w:val="both"/>
        <w:rPr>
          <w:rFonts w:eastAsia="Times New Roman" w:cs="Times New Roman"/>
          <w:color w:val="000000"/>
          <w:lang w:eastAsia="el-GR"/>
        </w:rPr>
      </w:pPr>
      <w:r w:rsidRPr="002843C4">
        <w:rPr>
          <w:rFonts w:eastAsia="Times New Roman" w:cs="Times New Roman"/>
          <w:color w:val="000000"/>
          <w:lang w:eastAsia="el-GR"/>
        </w:rPr>
        <w:t xml:space="preserve">Για το λόγο αυτό έχει </w:t>
      </w:r>
      <w:r w:rsidR="002843C4" w:rsidRPr="002843C4">
        <w:rPr>
          <w:rFonts w:eastAsia="Times New Roman" w:cs="Times New Roman"/>
          <w:color w:val="000000"/>
          <w:lang w:eastAsia="el-GR"/>
        </w:rPr>
        <w:t>παγίως</w:t>
      </w:r>
      <w:r w:rsidRPr="002843C4">
        <w:rPr>
          <w:rFonts w:eastAsia="Times New Roman" w:cs="Times New Roman"/>
          <w:color w:val="000000"/>
          <w:lang w:eastAsia="el-GR"/>
        </w:rPr>
        <w:t xml:space="preserve"> </w:t>
      </w:r>
      <w:proofErr w:type="spellStart"/>
      <w:r w:rsidR="002843C4">
        <w:rPr>
          <w:rFonts w:eastAsia="Times New Roman" w:cs="Times New Roman"/>
          <w:color w:val="000000"/>
          <w:lang w:eastAsia="el-GR"/>
        </w:rPr>
        <w:t>ν</w:t>
      </w:r>
      <w:r w:rsidR="002843C4" w:rsidRPr="002843C4">
        <w:rPr>
          <w:rFonts w:eastAsia="Times New Roman" w:cs="Times New Roman"/>
          <w:color w:val="000000"/>
          <w:lang w:eastAsia="el-GR"/>
        </w:rPr>
        <w:t>ομολογηθεί</w:t>
      </w:r>
      <w:proofErr w:type="spellEnd"/>
      <w:r w:rsidRPr="002843C4">
        <w:rPr>
          <w:rFonts w:eastAsia="Times New Roman" w:cs="Times New Roman"/>
          <w:color w:val="000000"/>
          <w:lang w:eastAsia="el-GR"/>
        </w:rPr>
        <w:t xml:space="preserve">  ότι</w:t>
      </w:r>
      <w:r w:rsidR="007C09E8" w:rsidRPr="002843C4">
        <w:rPr>
          <w:rFonts w:eastAsia="Times New Roman" w:cs="Times New Roman"/>
          <w:color w:val="000000"/>
          <w:lang w:eastAsia="el-GR"/>
        </w:rPr>
        <w:t xml:space="preserve"> «</w:t>
      </w:r>
      <w:r w:rsidR="006D6F3E" w:rsidRPr="002843C4">
        <w:rPr>
          <w:rFonts w:eastAsia="Times New Roman" w:cs="Times New Roman"/>
          <w:i/>
          <w:color w:val="000000"/>
          <w:lang w:eastAsia="el-GR"/>
        </w:rPr>
        <w:t>η παροχή των δικηγορικών υπηρεσιών, εκτιμώμενη τόσο από την πλευρά των σκοπών που επιδιώκει ο νόμος περί προστασίας των καταναλωτών, όσο και από την άποψη της ειδικής φύσης του δικηγορικού λειτουργήματος, δεν εμπίπτει στο πεδίο εφαρμογής του νόμου 2251/94</w:t>
      </w:r>
      <w:r w:rsidR="00D847C6">
        <w:rPr>
          <w:rFonts w:eastAsia="Times New Roman" w:cs="Times New Roman"/>
          <w:i/>
          <w:color w:val="000000"/>
          <w:lang w:eastAsia="el-GR"/>
        </w:rPr>
        <w:t xml:space="preserve"> </w:t>
      </w:r>
      <w:r w:rsidR="00D847C6" w:rsidRPr="00D847C6">
        <w:rPr>
          <w:rFonts w:eastAsia="Times New Roman" w:cs="Times New Roman"/>
          <w:color w:val="000000"/>
          <w:lang w:eastAsia="el-GR"/>
        </w:rPr>
        <w:t>[περί προστασίας καταναλωτών]</w:t>
      </w:r>
      <w:r w:rsidR="006D6F3E" w:rsidRPr="00D847C6">
        <w:rPr>
          <w:rFonts w:eastAsia="Times New Roman" w:cs="Times New Roman"/>
          <w:color w:val="000000"/>
          <w:lang w:eastAsia="el-GR"/>
        </w:rPr>
        <w:t>,</w:t>
      </w:r>
      <w:r w:rsidR="006D6F3E" w:rsidRPr="002843C4">
        <w:rPr>
          <w:rFonts w:eastAsia="Times New Roman" w:cs="Times New Roman"/>
          <w:i/>
          <w:color w:val="000000"/>
          <w:lang w:eastAsia="el-GR"/>
        </w:rPr>
        <w:t xml:space="preserve"> από τον οποίο και δεν καταργήθηκε η ειδική για τους δικηγόρους ρύθμιση της ευθύνης τους κατά το άρθρο 73 του </w:t>
      </w:r>
      <w:proofErr w:type="spellStart"/>
      <w:r w:rsidR="006D6F3E" w:rsidRPr="002843C4">
        <w:rPr>
          <w:rFonts w:eastAsia="Times New Roman" w:cs="Times New Roman"/>
          <w:i/>
          <w:color w:val="000000"/>
          <w:lang w:eastAsia="el-GR"/>
        </w:rPr>
        <w:t>ΕισΝ.Κ.Πολ.Δ</w:t>
      </w:r>
      <w:proofErr w:type="spellEnd"/>
      <w:r w:rsidR="006D6F3E" w:rsidRPr="002843C4">
        <w:rPr>
          <w:rFonts w:eastAsia="Times New Roman" w:cs="Times New Roman"/>
          <w:i/>
          <w:color w:val="000000"/>
          <w:lang w:eastAsia="el-GR"/>
        </w:rPr>
        <w:t>.</w:t>
      </w:r>
      <w:r w:rsidR="006D6F3E" w:rsidRPr="002843C4">
        <w:rPr>
          <w:rFonts w:eastAsia="Times New Roman" w:cs="Times New Roman"/>
          <w:color w:val="000000"/>
          <w:lang w:eastAsia="el-GR"/>
        </w:rPr>
        <w:t>»</w:t>
      </w:r>
      <w:r w:rsidR="002843C4">
        <w:rPr>
          <w:rFonts w:eastAsia="Times New Roman" w:cs="Times New Roman"/>
          <w:color w:val="000000"/>
          <w:lang w:eastAsia="el-GR"/>
        </w:rPr>
        <w:t xml:space="preserve"> (ΑΠ </w:t>
      </w:r>
      <w:proofErr w:type="spellStart"/>
      <w:r w:rsidR="002843C4">
        <w:rPr>
          <w:rFonts w:eastAsia="Times New Roman" w:cs="Times New Roman"/>
          <w:color w:val="000000"/>
          <w:lang w:eastAsia="el-GR"/>
        </w:rPr>
        <w:t>Ολ</w:t>
      </w:r>
      <w:proofErr w:type="spellEnd"/>
      <w:r w:rsidR="002843C4">
        <w:rPr>
          <w:rFonts w:eastAsia="Times New Roman" w:cs="Times New Roman"/>
          <w:color w:val="000000"/>
          <w:lang w:eastAsia="el-GR"/>
        </w:rPr>
        <w:t>. 19/1999)</w:t>
      </w:r>
      <w:r w:rsidR="006D6F3E" w:rsidRPr="002843C4">
        <w:rPr>
          <w:rFonts w:eastAsia="Times New Roman" w:cs="Times New Roman"/>
          <w:color w:val="000000"/>
          <w:lang w:eastAsia="el-GR"/>
        </w:rPr>
        <w:t xml:space="preserve">. </w:t>
      </w:r>
    </w:p>
    <w:p w:rsidR="006D6F3E" w:rsidRPr="002843C4" w:rsidRDefault="006D6F3E" w:rsidP="008F0B7D">
      <w:pPr>
        <w:jc w:val="both"/>
        <w:rPr>
          <w:rFonts w:eastAsia="Times New Roman" w:cs="Times New Roman"/>
          <w:color w:val="000000"/>
          <w:lang w:eastAsia="el-GR"/>
        </w:rPr>
      </w:pPr>
    </w:p>
    <w:p w:rsidR="006D6F3E" w:rsidRPr="002843C4" w:rsidRDefault="006D6F3E" w:rsidP="008F0B7D">
      <w:pPr>
        <w:jc w:val="both"/>
        <w:rPr>
          <w:rFonts w:eastAsia="Times New Roman" w:cs="Times New Roman"/>
          <w:color w:val="000000"/>
          <w:lang w:eastAsia="el-GR"/>
        </w:rPr>
      </w:pPr>
      <w:r w:rsidRPr="002843C4">
        <w:rPr>
          <w:rFonts w:eastAsia="Times New Roman" w:cs="Times New Roman"/>
          <w:color w:val="000000"/>
          <w:lang w:eastAsia="el-GR"/>
        </w:rPr>
        <w:t>Συνεπώς</w:t>
      </w:r>
      <w:r w:rsidR="002843C4">
        <w:rPr>
          <w:rFonts w:eastAsia="Times New Roman" w:cs="Times New Roman"/>
          <w:color w:val="000000"/>
          <w:lang w:eastAsia="el-GR"/>
        </w:rPr>
        <w:t>,</w:t>
      </w:r>
      <w:r w:rsidRPr="002843C4">
        <w:rPr>
          <w:rFonts w:eastAsia="Times New Roman" w:cs="Times New Roman"/>
          <w:color w:val="000000"/>
          <w:lang w:eastAsia="el-GR"/>
        </w:rPr>
        <w:t xml:space="preserve"> είναι αμφίβολο εάν οι δικηγόροι υπάγονται στο πεδίο εφαρμογής της εξουσιοδοτικής </w:t>
      </w:r>
      <w:r w:rsidR="002843C4">
        <w:rPr>
          <w:rFonts w:eastAsia="Times New Roman" w:cs="Times New Roman"/>
          <w:color w:val="000000"/>
          <w:lang w:eastAsia="el-GR"/>
        </w:rPr>
        <w:t>διάταξης</w:t>
      </w:r>
      <w:r w:rsidRPr="002843C4">
        <w:rPr>
          <w:rFonts w:eastAsia="Times New Roman" w:cs="Times New Roman"/>
          <w:color w:val="000000"/>
          <w:lang w:eastAsia="el-GR"/>
        </w:rPr>
        <w:t xml:space="preserve"> του άρθρου 65 του νόμου </w:t>
      </w:r>
      <w:r w:rsidR="00D847C6">
        <w:rPr>
          <w:rFonts w:eastAsia="Times New Roman" w:cs="Times New Roman"/>
          <w:color w:val="000000"/>
          <w:lang w:eastAsia="el-GR"/>
        </w:rPr>
        <w:t>4446/</w:t>
      </w:r>
      <w:r w:rsidRPr="002843C4">
        <w:rPr>
          <w:rFonts w:eastAsia="Times New Roman" w:cs="Times New Roman"/>
          <w:color w:val="000000"/>
          <w:lang w:eastAsia="el-GR"/>
        </w:rPr>
        <w:t xml:space="preserve">2016,  και εντεύθεν εάν η υπαγωγή των νομικών υπηρεσιών στην Κοινή Υπουργική Απόφαση είναι νόμιμη </w:t>
      </w:r>
      <w:r w:rsidR="0099506D">
        <w:rPr>
          <w:rFonts w:eastAsia="Times New Roman" w:cs="Times New Roman"/>
          <w:color w:val="000000"/>
          <w:lang w:eastAsia="el-GR"/>
        </w:rPr>
        <w:t xml:space="preserve">ή </w:t>
      </w:r>
      <w:r w:rsidRPr="002843C4">
        <w:rPr>
          <w:rFonts w:eastAsia="Times New Roman" w:cs="Times New Roman"/>
          <w:color w:val="000000"/>
          <w:lang w:eastAsia="el-GR"/>
        </w:rPr>
        <w:t xml:space="preserve">όχι. </w:t>
      </w:r>
    </w:p>
    <w:p w:rsidR="006D6F3E" w:rsidRPr="002843C4" w:rsidRDefault="006D6F3E" w:rsidP="008F0B7D">
      <w:pPr>
        <w:jc w:val="both"/>
        <w:rPr>
          <w:rFonts w:eastAsia="Times New Roman" w:cs="Times New Roman"/>
          <w:color w:val="000000"/>
          <w:lang w:eastAsia="el-GR"/>
        </w:rPr>
      </w:pPr>
    </w:p>
    <w:p w:rsidR="006D6F3E" w:rsidRPr="002843C4" w:rsidRDefault="00090EB7" w:rsidP="002843C4">
      <w:pPr>
        <w:pStyle w:val="a3"/>
        <w:numPr>
          <w:ilvl w:val="0"/>
          <w:numId w:val="1"/>
        </w:numPr>
        <w:jc w:val="both"/>
        <w:rPr>
          <w:rFonts w:eastAsia="Times New Roman" w:cs="Times New Roman"/>
          <w:color w:val="000000"/>
          <w:lang w:eastAsia="el-GR"/>
        </w:rPr>
      </w:pPr>
      <w:r>
        <w:rPr>
          <w:rFonts w:eastAsia="Times New Roman" w:cs="Times New Roman"/>
          <w:color w:val="000000"/>
          <w:lang w:eastAsia="el-GR"/>
        </w:rPr>
        <w:t>Περαιτέρω,</w:t>
      </w:r>
      <w:r w:rsidR="008F0B7D" w:rsidRPr="002843C4">
        <w:rPr>
          <w:rFonts w:eastAsia="Times New Roman" w:cs="Times New Roman"/>
          <w:color w:val="000000"/>
          <w:lang w:eastAsia="el-GR"/>
        </w:rPr>
        <w:t xml:space="preserve"> στο </w:t>
      </w:r>
      <w:r w:rsidR="002843C4">
        <w:rPr>
          <w:rFonts w:eastAsia="Times New Roman" w:cs="Times New Roman"/>
          <w:color w:val="000000"/>
          <w:lang w:eastAsia="el-GR"/>
        </w:rPr>
        <w:t>μέτρο</w:t>
      </w:r>
      <w:r w:rsidR="008F0B7D" w:rsidRPr="002843C4">
        <w:rPr>
          <w:rFonts w:eastAsia="Times New Roman" w:cs="Times New Roman"/>
          <w:color w:val="000000"/>
          <w:lang w:eastAsia="el-GR"/>
        </w:rPr>
        <w:t xml:space="preserve"> που προβλέπεται </w:t>
      </w:r>
      <w:r w:rsidR="008F0B7D" w:rsidRPr="002843C4">
        <w:rPr>
          <w:rFonts w:eastAsia="Times New Roman" w:cs="Times New Roman"/>
          <w:b/>
          <w:color w:val="000000"/>
          <w:lang w:eastAsia="el-GR"/>
        </w:rPr>
        <w:t>η δυνατότητα παροχής δικηγορικών υπηρεσιών σε όλη την επικράτεια,</w:t>
      </w:r>
      <w:r w:rsidR="002843C4">
        <w:rPr>
          <w:rFonts w:eastAsia="Times New Roman" w:cs="Times New Roman"/>
          <w:b/>
          <w:color w:val="000000"/>
          <w:lang w:eastAsia="el-GR"/>
        </w:rPr>
        <w:t xml:space="preserve"> ελευθέ</w:t>
      </w:r>
      <w:r w:rsidR="008F0B7D" w:rsidRPr="002843C4">
        <w:rPr>
          <w:rFonts w:eastAsia="Times New Roman" w:cs="Times New Roman"/>
          <w:b/>
          <w:color w:val="000000"/>
          <w:lang w:eastAsia="el-GR"/>
        </w:rPr>
        <w:t>ρως και ακωλύτως</w:t>
      </w:r>
      <w:r w:rsidR="008F0B7D" w:rsidRPr="002843C4">
        <w:rPr>
          <w:rFonts w:eastAsia="Times New Roman" w:cs="Times New Roman"/>
          <w:color w:val="000000"/>
          <w:lang w:eastAsia="el-GR"/>
        </w:rPr>
        <w:t>,</w:t>
      </w:r>
      <w:r w:rsidR="002843C4">
        <w:rPr>
          <w:rFonts w:eastAsia="Times New Roman" w:cs="Times New Roman"/>
          <w:color w:val="000000"/>
          <w:lang w:eastAsia="el-GR"/>
        </w:rPr>
        <w:t xml:space="preserve">  στο μέτρο</w:t>
      </w:r>
      <w:r w:rsidR="008F0B7D" w:rsidRPr="002843C4">
        <w:rPr>
          <w:rFonts w:eastAsia="Times New Roman" w:cs="Times New Roman"/>
          <w:color w:val="000000"/>
          <w:lang w:eastAsia="el-GR"/>
        </w:rPr>
        <w:t xml:space="preserve"> δηλαδή </w:t>
      </w:r>
      <w:r w:rsidR="002843C4">
        <w:rPr>
          <w:rFonts w:eastAsia="Times New Roman" w:cs="Times New Roman"/>
          <w:color w:val="000000"/>
          <w:lang w:eastAsia="el-GR"/>
        </w:rPr>
        <w:t>που οι</w:t>
      </w:r>
      <w:r w:rsidR="008F0B7D" w:rsidRPr="002843C4">
        <w:rPr>
          <w:rFonts w:eastAsia="Times New Roman" w:cs="Times New Roman"/>
          <w:color w:val="000000"/>
          <w:lang w:eastAsia="el-GR"/>
        </w:rPr>
        <w:t xml:space="preserve"> δικηγορικές υπηρεσίες παρέχονται</w:t>
      </w:r>
      <w:r w:rsidR="002843C4">
        <w:rPr>
          <w:rFonts w:eastAsia="Times New Roman" w:cs="Times New Roman"/>
          <w:color w:val="000000"/>
          <w:lang w:eastAsia="el-GR"/>
        </w:rPr>
        <w:t xml:space="preserve"> νομίμως</w:t>
      </w:r>
      <w:r w:rsidR="008F0B7D" w:rsidRPr="002843C4">
        <w:rPr>
          <w:rFonts w:eastAsia="Times New Roman" w:cs="Times New Roman"/>
          <w:color w:val="000000"/>
          <w:lang w:eastAsia="el-GR"/>
        </w:rPr>
        <w:t xml:space="preserve"> </w:t>
      </w:r>
      <w:r w:rsidR="002843C4" w:rsidRPr="002843C4">
        <w:rPr>
          <w:rFonts w:eastAsia="Times New Roman" w:cs="Times New Roman"/>
          <w:color w:val="000000"/>
          <w:lang w:eastAsia="el-GR"/>
        </w:rPr>
        <w:t>εκτός</w:t>
      </w:r>
      <w:r w:rsidR="008F0B7D" w:rsidRPr="002843C4">
        <w:rPr>
          <w:rFonts w:eastAsia="Times New Roman" w:cs="Times New Roman"/>
          <w:color w:val="000000"/>
          <w:lang w:eastAsia="el-GR"/>
        </w:rPr>
        <w:t xml:space="preserve"> της επαγγελματικής έδρας</w:t>
      </w:r>
      <w:r w:rsidR="0099506D">
        <w:rPr>
          <w:rFonts w:eastAsia="Times New Roman" w:cs="Times New Roman"/>
          <w:color w:val="000000"/>
          <w:lang w:eastAsia="el-GR"/>
        </w:rPr>
        <w:t xml:space="preserve"> (δικηγορικού γραφείου)</w:t>
      </w:r>
      <w:r w:rsidR="002843C4">
        <w:rPr>
          <w:rFonts w:eastAsia="Times New Roman" w:cs="Times New Roman"/>
          <w:color w:val="000000"/>
          <w:lang w:eastAsia="el-GR"/>
        </w:rPr>
        <w:t>,</w:t>
      </w:r>
      <w:r w:rsidR="008F0B7D" w:rsidRPr="002843C4">
        <w:rPr>
          <w:rFonts w:eastAsia="Times New Roman" w:cs="Times New Roman"/>
          <w:color w:val="000000"/>
          <w:lang w:eastAsia="el-GR"/>
        </w:rPr>
        <w:t xml:space="preserve"> είναι αμφίβολο εάν η</w:t>
      </w:r>
      <w:r w:rsidR="002843C4">
        <w:rPr>
          <w:rFonts w:eastAsia="Times New Roman" w:cs="Times New Roman"/>
          <w:color w:val="000000"/>
          <w:lang w:eastAsia="el-GR"/>
        </w:rPr>
        <w:t xml:space="preserve"> απόφαση είναι εφαρμόσιμη ειδικώ</w:t>
      </w:r>
      <w:r w:rsidR="008F0B7D" w:rsidRPr="002843C4">
        <w:rPr>
          <w:rFonts w:eastAsia="Times New Roman" w:cs="Times New Roman"/>
          <w:color w:val="000000"/>
          <w:lang w:eastAsia="el-GR"/>
        </w:rPr>
        <w:t>ς στην περίπτωση της παροχής δικηγορικών υπηρεσιών.</w:t>
      </w:r>
      <w:r w:rsidR="001E5292">
        <w:rPr>
          <w:rFonts w:eastAsia="Times New Roman" w:cs="Times New Roman"/>
          <w:color w:val="000000"/>
          <w:lang w:eastAsia="el-GR"/>
        </w:rPr>
        <w:t xml:space="preserve"> </w:t>
      </w:r>
    </w:p>
    <w:p w:rsidR="008F0B7D" w:rsidRPr="002843C4" w:rsidRDefault="008F0B7D" w:rsidP="008F0B7D">
      <w:pPr>
        <w:jc w:val="both"/>
        <w:rPr>
          <w:rFonts w:eastAsia="Times New Roman" w:cs="Times New Roman"/>
          <w:color w:val="000000"/>
          <w:lang w:eastAsia="el-GR"/>
        </w:rPr>
      </w:pPr>
    </w:p>
    <w:p w:rsidR="008F0B7D" w:rsidRPr="002843C4" w:rsidRDefault="0099506D" w:rsidP="002843C4">
      <w:pPr>
        <w:pStyle w:val="a3"/>
        <w:numPr>
          <w:ilvl w:val="0"/>
          <w:numId w:val="1"/>
        </w:numPr>
        <w:jc w:val="both"/>
        <w:rPr>
          <w:rFonts w:eastAsia="Times New Roman" w:cs="Times New Roman"/>
          <w:color w:val="000000"/>
          <w:lang w:eastAsia="el-GR"/>
        </w:rPr>
      </w:pPr>
      <w:r>
        <w:rPr>
          <w:rFonts w:eastAsia="Times New Roman" w:cs="Times New Roman"/>
          <w:color w:val="000000"/>
          <w:lang w:eastAsia="el-GR"/>
        </w:rPr>
        <w:t xml:space="preserve">Επιπροσθέτως, </w:t>
      </w:r>
      <w:r w:rsidR="002843C4">
        <w:rPr>
          <w:rFonts w:eastAsia="Times New Roman" w:cs="Times New Roman"/>
          <w:color w:val="000000"/>
          <w:lang w:eastAsia="el-GR"/>
        </w:rPr>
        <w:t>η</w:t>
      </w:r>
      <w:r w:rsidR="008F0B7D" w:rsidRPr="002843C4">
        <w:rPr>
          <w:rFonts w:eastAsia="Times New Roman" w:cs="Times New Roman"/>
          <w:color w:val="000000"/>
          <w:lang w:eastAsia="el-GR"/>
        </w:rPr>
        <w:t xml:space="preserve"> πρόβλεψη της κατάρτισης υποχρεωτικής</w:t>
      </w:r>
      <w:r w:rsidR="002843C4">
        <w:rPr>
          <w:rFonts w:eastAsia="Times New Roman" w:cs="Times New Roman"/>
          <w:color w:val="000000"/>
          <w:lang w:eastAsia="el-GR"/>
        </w:rPr>
        <w:t>,</w:t>
      </w:r>
      <w:r w:rsidR="008F0B7D" w:rsidRPr="002843C4">
        <w:rPr>
          <w:rFonts w:eastAsia="Times New Roman" w:cs="Times New Roman"/>
          <w:color w:val="000000"/>
          <w:lang w:eastAsia="el-GR"/>
        </w:rPr>
        <w:t xml:space="preserve"> αμφοτεροβαρούς, επαχθούς, σύμβασης με </w:t>
      </w:r>
      <w:proofErr w:type="spellStart"/>
      <w:r w:rsidR="008F0B7D" w:rsidRPr="002843C4">
        <w:rPr>
          <w:rFonts w:eastAsia="Times New Roman" w:cs="Times New Roman"/>
          <w:color w:val="000000"/>
          <w:lang w:eastAsia="el-GR"/>
        </w:rPr>
        <w:t>αδειοδοτημένο</w:t>
      </w:r>
      <w:proofErr w:type="spellEnd"/>
      <w:r w:rsidR="008F0B7D" w:rsidRPr="002843C4">
        <w:rPr>
          <w:rFonts w:eastAsia="Times New Roman" w:cs="Times New Roman"/>
          <w:color w:val="000000"/>
          <w:lang w:eastAsia="el-GR"/>
        </w:rPr>
        <w:t xml:space="preserve"> </w:t>
      </w:r>
      <w:proofErr w:type="spellStart"/>
      <w:r w:rsidR="008F0B7D" w:rsidRPr="002843C4">
        <w:rPr>
          <w:rFonts w:eastAsia="Times New Roman" w:cs="Times New Roman"/>
          <w:color w:val="000000"/>
          <w:lang w:eastAsia="el-GR"/>
        </w:rPr>
        <w:t>πάροχο</w:t>
      </w:r>
      <w:proofErr w:type="spellEnd"/>
      <w:r w:rsidR="008F0B7D" w:rsidRPr="002843C4">
        <w:rPr>
          <w:rFonts w:eastAsia="Times New Roman" w:cs="Times New Roman"/>
          <w:color w:val="000000"/>
          <w:lang w:eastAsia="el-GR"/>
        </w:rPr>
        <w:t xml:space="preserve"> υπηρεσιών πληρωμών</w:t>
      </w:r>
      <w:r w:rsidR="002843C4">
        <w:rPr>
          <w:rFonts w:eastAsia="Times New Roman" w:cs="Times New Roman"/>
          <w:color w:val="000000"/>
          <w:lang w:eastAsia="el-GR"/>
        </w:rPr>
        <w:t xml:space="preserve"> (άρθρο 65 παρ. 2 ν. 4446/2016)</w:t>
      </w:r>
      <w:r w:rsidR="008F0B7D" w:rsidRPr="002843C4">
        <w:rPr>
          <w:rFonts w:eastAsia="Times New Roman" w:cs="Times New Roman"/>
          <w:color w:val="000000"/>
          <w:lang w:eastAsia="el-GR"/>
        </w:rPr>
        <w:t xml:space="preserve">,  </w:t>
      </w:r>
      <w:r w:rsidR="002843C4">
        <w:rPr>
          <w:rFonts w:eastAsia="Times New Roman" w:cs="Times New Roman"/>
          <w:color w:val="000000"/>
          <w:lang w:eastAsia="el-GR"/>
        </w:rPr>
        <w:t>η οποία συνεπάγε</w:t>
      </w:r>
      <w:r w:rsidR="008F0B7D" w:rsidRPr="002843C4">
        <w:rPr>
          <w:rFonts w:eastAsia="Times New Roman" w:cs="Times New Roman"/>
          <w:color w:val="000000"/>
          <w:lang w:eastAsia="el-GR"/>
        </w:rPr>
        <w:t>ται κόστος για τον δικηγόρο</w:t>
      </w:r>
      <w:r w:rsidR="001E5292">
        <w:rPr>
          <w:rFonts w:eastAsia="Times New Roman" w:cs="Times New Roman"/>
          <w:color w:val="000000"/>
          <w:lang w:eastAsia="el-GR"/>
        </w:rPr>
        <w:t xml:space="preserve"> (</w:t>
      </w:r>
      <w:r w:rsidR="008F0B7D" w:rsidRPr="002843C4">
        <w:rPr>
          <w:rFonts w:eastAsia="Times New Roman" w:cs="Times New Roman"/>
          <w:color w:val="000000"/>
          <w:lang w:eastAsia="el-GR"/>
        </w:rPr>
        <w:t>«δικαιούχο πληρωμής»</w:t>
      </w:r>
      <w:r w:rsidR="001E5292">
        <w:rPr>
          <w:rFonts w:eastAsia="Times New Roman" w:cs="Times New Roman"/>
          <w:color w:val="000000"/>
          <w:lang w:eastAsia="el-GR"/>
        </w:rPr>
        <w:t>)</w:t>
      </w:r>
      <w:r w:rsidR="002843C4">
        <w:rPr>
          <w:rFonts w:eastAsia="Times New Roman" w:cs="Times New Roman"/>
          <w:color w:val="000000"/>
          <w:lang w:eastAsia="el-GR"/>
        </w:rPr>
        <w:t>,  είναι αμφίβολο  εάν συνάδει</w:t>
      </w:r>
      <w:r w:rsidR="008F0B7D" w:rsidRPr="002843C4">
        <w:rPr>
          <w:rFonts w:eastAsia="Times New Roman" w:cs="Times New Roman"/>
          <w:color w:val="000000"/>
          <w:lang w:eastAsia="el-GR"/>
        </w:rPr>
        <w:t xml:space="preserve"> με την</w:t>
      </w:r>
      <w:r w:rsidR="002843C4">
        <w:rPr>
          <w:rFonts w:eastAsia="Times New Roman" w:cs="Times New Roman"/>
          <w:color w:val="000000"/>
          <w:lang w:eastAsia="el-GR"/>
        </w:rPr>
        <w:t xml:space="preserve"> συνταγματικά κατοχυρωμένη</w:t>
      </w:r>
      <w:r w:rsidR="008F0B7D" w:rsidRPr="002843C4">
        <w:rPr>
          <w:rFonts w:eastAsia="Times New Roman" w:cs="Times New Roman"/>
          <w:color w:val="000000"/>
          <w:lang w:eastAsia="el-GR"/>
        </w:rPr>
        <w:t xml:space="preserve"> αρχή </w:t>
      </w:r>
      <w:r w:rsidR="001E5292">
        <w:rPr>
          <w:rFonts w:eastAsia="Times New Roman" w:cs="Times New Roman"/>
          <w:color w:val="000000"/>
          <w:lang w:eastAsia="el-GR"/>
        </w:rPr>
        <w:t xml:space="preserve">της </w:t>
      </w:r>
      <w:r w:rsidR="008F0B7D" w:rsidRPr="002843C4">
        <w:rPr>
          <w:rFonts w:eastAsia="Times New Roman" w:cs="Times New Roman"/>
          <w:color w:val="000000"/>
          <w:lang w:eastAsia="el-GR"/>
        </w:rPr>
        <w:t xml:space="preserve">ιδιωτικής αυτονομίας,  υπό την ειδικότερη εκδοχή της </w:t>
      </w:r>
      <w:r w:rsidR="008F0B7D" w:rsidRPr="002843C4">
        <w:rPr>
          <w:rFonts w:eastAsia="Times New Roman" w:cs="Times New Roman"/>
          <w:b/>
          <w:color w:val="000000"/>
          <w:lang w:eastAsia="el-GR"/>
        </w:rPr>
        <w:t>αρνητικής  συμβατικής ελευθερίας</w:t>
      </w:r>
      <w:r w:rsidR="008F0B7D" w:rsidRPr="002843C4">
        <w:rPr>
          <w:rFonts w:eastAsia="Times New Roman" w:cs="Times New Roman"/>
          <w:color w:val="000000"/>
          <w:lang w:eastAsia="el-GR"/>
        </w:rPr>
        <w:t>,  δηλαδή της ευχέρειας του κοινωνού να μην συμβάλλεται εφόσον δεν το επιθυμεί</w:t>
      </w:r>
      <w:r w:rsidR="002843C4">
        <w:rPr>
          <w:rFonts w:eastAsia="Times New Roman" w:cs="Times New Roman"/>
          <w:color w:val="000000"/>
          <w:lang w:eastAsia="el-GR"/>
        </w:rPr>
        <w:t xml:space="preserve"> (άρθρο 5 παρ. 1 Συντ.)</w:t>
      </w:r>
      <w:r w:rsidR="008F0B7D" w:rsidRPr="002843C4">
        <w:rPr>
          <w:rFonts w:eastAsia="Times New Roman" w:cs="Times New Roman"/>
          <w:color w:val="000000"/>
          <w:lang w:eastAsia="el-GR"/>
        </w:rPr>
        <w:t xml:space="preserve">. </w:t>
      </w:r>
    </w:p>
    <w:p w:rsidR="002843C4" w:rsidRDefault="002843C4" w:rsidP="008F0B7D">
      <w:pPr>
        <w:jc w:val="both"/>
        <w:rPr>
          <w:rFonts w:eastAsia="Times New Roman" w:cs="Times New Roman"/>
          <w:color w:val="000000"/>
          <w:lang w:eastAsia="el-GR"/>
        </w:rPr>
      </w:pPr>
    </w:p>
    <w:p w:rsidR="008F0B7D" w:rsidRDefault="008F0B7D" w:rsidP="002843C4">
      <w:pPr>
        <w:pStyle w:val="a3"/>
        <w:numPr>
          <w:ilvl w:val="0"/>
          <w:numId w:val="1"/>
        </w:numPr>
        <w:jc w:val="both"/>
        <w:rPr>
          <w:rFonts w:eastAsia="Times New Roman" w:cs="Times New Roman"/>
          <w:color w:val="000000"/>
          <w:lang w:eastAsia="el-GR"/>
        </w:rPr>
      </w:pPr>
      <w:r w:rsidRPr="002843C4">
        <w:rPr>
          <w:rFonts w:eastAsia="Times New Roman" w:cs="Times New Roman"/>
          <w:color w:val="000000"/>
          <w:lang w:eastAsia="el-GR"/>
        </w:rPr>
        <w:t>Ακόμη κι αν ήθελε υποτεθεί ότι</w:t>
      </w:r>
      <w:r w:rsidR="001E5292">
        <w:rPr>
          <w:rFonts w:eastAsia="Times New Roman" w:cs="Times New Roman"/>
          <w:color w:val="000000"/>
          <w:lang w:eastAsia="el-GR"/>
        </w:rPr>
        <w:t xml:space="preserve">, κατά το Υπουργείο Οικονομικών, </w:t>
      </w:r>
      <w:r w:rsidRPr="002843C4">
        <w:rPr>
          <w:rFonts w:eastAsia="Times New Roman" w:cs="Times New Roman"/>
          <w:color w:val="000000"/>
          <w:lang w:eastAsia="el-GR"/>
        </w:rPr>
        <w:t xml:space="preserve"> </w:t>
      </w:r>
      <w:r w:rsidR="002843C4">
        <w:rPr>
          <w:rFonts w:eastAsia="Times New Roman" w:cs="Times New Roman"/>
          <w:color w:val="000000"/>
          <w:lang w:eastAsia="el-GR"/>
        </w:rPr>
        <w:t xml:space="preserve">η </w:t>
      </w:r>
      <w:r w:rsidRPr="002843C4">
        <w:rPr>
          <w:rFonts w:eastAsia="Times New Roman" w:cs="Times New Roman"/>
          <w:color w:val="000000"/>
          <w:lang w:eastAsia="el-GR"/>
        </w:rPr>
        <w:t xml:space="preserve">κάμψη της συμβατικής ελευθερίας αποβλέπει στον περιορισμό της απόκρυψης φορολογικής ύλης </w:t>
      </w:r>
      <w:r w:rsidR="002843C4">
        <w:rPr>
          <w:rFonts w:eastAsia="Times New Roman" w:cs="Times New Roman"/>
          <w:color w:val="000000"/>
          <w:lang w:eastAsia="el-GR"/>
        </w:rPr>
        <w:t>-</w:t>
      </w:r>
      <w:r w:rsidR="001E5292">
        <w:rPr>
          <w:rFonts w:eastAsia="Times New Roman" w:cs="Times New Roman"/>
          <w:color w:val="000000"/>
          <w:lang w:eastAsia="el-GR"/>
        </w:rPr>
        <w:t>για την οποία δεν παρέχονται τεκμηριωμένα στοιχεία</w:t>
      </w:r>
      <w:r w:rsidR="002843C4">
        <w:rPr>
          <w:rFonts w:eastAsia="Times New Roman" w:cs="Times New Roman"/>
          <w:color w:val="000000"/>
          <w:lang w:eastAsia="el-GR"/>
        </w:rPr>
        <w:t>-,</w:t>
      </w:r>
      <w:r w:rsidRPr="002843C4">
        <w:rPr>
          <w:rFonts w:eastAsia="Times New Roman" w:cs="Times New Roman"/>
          <w:color w:val="000000"/>
          <w:lang w:eastAsia="el-GR"/>
        </w:rPr>
        <w:t xml:space="preserve"> το εν</w:t>
      </w:r>
      <w:r w:rsidR="002843C4">
        <w:rPr>
          <w:rFonts w:eastAsia="Times New Roman" w:cs="Times New Roman"/>
          <w:color w:val="000000"/>
          <w:lang w:eastAsia="el-GR"/>
        </w:rPr>
        <w:t xml:space="preserve"> </w:t>
      </w:r>
      <w:r w:rsidRPr="002843C4">
        <w:rPr>
          <w:rFonts w:eastAsia="Times New Roman" w:cs="Times New Roman"/>
          <w:color w:val="000000"/>
          <w:lang w:eastAsia="el-GR"/>
        </w:rPr>
        <w:t xml:space="preserve">λόγω </w:t>
      </w:r>
      <w:r w:rsidR="002843C4">
        <w:rPr>
          <w:rFonts w:eastAsia="Times New Roman" w:cs="Times New Roman"/>
          <w:color w:val="000000"/>
          <w:lang w:eastAsia="el-GR"/>
        </w:rPr>
        <w:t>μέτρο</w:t>
      </w:r>
      <w:r w:rsidRPr="002843C4">
        <w:rPr>
          <w:rFonts w:eastAsia="Times New Roman" w:cs="Times New Roman"/>
          <w:color w:val="000000"/>
          <w:lang w:eastAsia="el-GR"/>
        </w:rPr>
        <w:t xml:space="preserve"> παρίσταται </w:t>
      </w:r>
      <w:r w:rsidRPr="002843C4">
        <w:rPr>
          <w:rFonts w:eastAsia="Times New Roman" w:cs="Times New Roman"/>
          <w:b/>
          <w:color w:val="000000"/>
          <w:lang w:eastAsia="el-GR"/>
        </w:rPr>
        <w:t>δυσανάλογο</w:t>
      </w:r>
      <w:r w:rsidRPr="002843C4">
        <w:rPr>
          <w:rFonts w:eastAsia="Times New Roman" w:cs="Times New Roman"/>
          <w:color w:val="000000"/>
          <w:lang w:eastAsia="el-GR"/>
        </w:rPr>
        <w:t xml:space="preserve">,  ήτοι </w:t>
      </w:r>
      <w:r w:rsidR="002843C4">
        <w:rPr>
          <w:rFonts w:eastAsia="Times New Roman" w:cs="Times New Roman"/>
          <w:color w:val="000000"/>
          <w:lang w:eastAsia="el-GR"/>
        </w:rPr>
        <w:t>υπέρ</w:t>
      </w:r>
      <w:r w:rsidR="002843C4" w:rsidRPr="002843C4">
        <w:rPr>
          <w:rFonts w:eastAsia="Times New Roman" w:cs="Times New Roman"/>
          <w:color w:val="000000"/>
          <w:lang w:eastAsia="el-GR"/>
        </w:rPr>
        <w:t>μετρα</w:t>
      </w:r>
      <w:r w:rsidRPr="002843C4">
        <w:rPr>
          <w:rFonts w:eastAsia="Times New Roman" w:cs="Times New Roman"/>
          <w:color w:val="000000"/>
          <w:lang w:eastAsia="el-GR"/>
        </w:rPr>
        <w:t xml:space="preserve"> επαχθές</w:t>
      </w:r>
      <w:r w:rsidR="002843C4">
        <w:rPr>
          <w:rFonts w:eastAsia="Times New Roman" w:cs="Times New Roman"/>
          <w:color w:val="000000"/>
          <w:lang w:eastAsia="el-GR"/>
        </w:rPr>
        <w:t xml:space="preserve"> και αντίθετο</w:t>
      </w:r>
      <w:r w:rsidR="001E5292">
        <w:rPr>
          <w:rFonts w:eastAsia="Times New Roman" w:cs="Times New Roman"/>
          <w:color w:val="000000"/>
          <w:lang w:eastAsia="el-GR"/>
        </w:rPr>
        <w:t xml:space="preserve"> στο άρθρο 25 Συντ.</w:t>
      </w:r>
      <w:r w:rsidR="008464C8">
        <w:rPr>
          <w:rFonts w:eastAsia="Times New Roman" w:cs="Times New Roman"/>
          <w:color w:val="000000"/>
          <w:lang w:eastAsia="el-GR"/>
        </w:rPr>
        <w:t>,</w:t>
      </w:r>
      <w:r w:rsidRPr="002843C4">
        <w:rPr>
          <w:rFonts w:eastAsia="Times New Roman" w:cs="Times New Roman"/>
          <w:color w:val="000000"/>
          <w:lang w:eastAsia="el-GR"/>
        </w:rPr>
        <w:t xml:space="preserve"> καθώς θα έπρεπε να έχουν προηγουμένως </w:t>
      </w:r>
      <w:r w:rsidR="001E5292">
        <w:rPr>
          <w:rFonts w:eastAsia="Times New Roman" w:cs="Times New Roman"/>
          <w:color w:val="000000"/>
          <w:lang w:eastAsia="el-GR"/>
        </w:rPr>
        <w:t>προκριθεί</w:t>
      </w:r>
      <w:r w:rsidRPr="002843C4">
        <w:rPr>
          <w:rFonts w:eastAsia="Times New Roman" w:cs="Times New Roman"/>
          <w:color w:val="000000"/>
          <w:lang w:eastAsia="el-GR"/>
        </w:rPr>
        <w:t xml:space="preserve"> άλλες εναλλακτικές επιλογές</w:t>
      </w:r>
      <w:r w:rsidR="002843C4">
        <w:rPr>
          <w:rFonts w:eastAsia="Times New Roman" w:cs="Times New Roman"/>
          <w:color w:val="000000"/>
          <w:lang w:eastAsia="el-GR"/>
        </w:rPr>
        <w:t>,</w:t>
      </w:r>
      <w:r w:rsidRPr="002843C4">
        <w:rPr>
          <w:rFonts w:eastAsia="Times New Roman" w:cs="Times New Roman"/>
          <w:color w:val="000000"/>
          <w:lang w:eastAsia="el-GR"/>
        </w:rPr>
        <w:t xml:space="preserve"> όπως η παροχή</w:t>
      </w:r>
      <w:r w:rsidR="001E5292">
        <w:rPr>
          <w:rFonts w:eastAsia="Times New Roman" w:cs="Times New Roman"/>
          <w:color w:val="000000"/>
          <w:lang w:eastAsia="el-GR"/>
        </w:rPr>
        <w:t xml:space="preserve"> </w:t>
      </w:r>
      <w:r w:rsidRPr="002843C4">
        <w:rPr>
          <w:rFonts w:eastAsia="Times New Roman" w:cs="Times New Roman"/>
          <w:color w:val="000000"/>
          <w:lang w:eastAsia="el-GR"/>
        </w:rPr>
        <w:t xml:space="preserve">κινήτρων σε όσους </w:t>
      </w:r>
      <w:r w:rsidR="001E5292">
        <w:rPr>
          <w:rFonts w:eastAsia="Times New Roman" w:cs="Times New Roman"/>
          <w:color w:val="000000"/>
          <w:lang w:eastAsia="el-GR"/>
        </w:rPr>
        <w:t xml:space="preserve">επιλέγουν </w:t>
      </w:r>
      <w:r w:rsidRPr="002843C4">
        <w:rPr>
          <w:rFonts w:eastAsia="Times New Roman" w:cs="Times New Roman"/>
          <w:color w:val="000000"/>
          <w:lang w:eastAsia="el-GR"/>
        </w:rPr>
        <w:t>την τοποθέτηση POS</w:t>
      </w:r>
      <w:r w:rsidR="002843C4">
        <w:rPr>
          <w:rFonts w:eastAsia="Times New Roman" w:cs="Times New Roman"/>
          <w:color w:val="000000"/>
          <w:lang w:eastAsia="el-GR"/>
        </w:rPr>
        <w:t>.</w:t>
      </w:r>
    </w:p>
    <w:p w:rsidR="002843C4" w:rsidRPr="002843C4" w:rsidRDefault="002843C4" w:rsidP="002843C4">
      <w:pPr>
        <w:jc w:val="both"/>
        <w:rPr>
          <w:rFonts w:eastAsia="Times New Roman" w:cs="Times New Roman"/>
          <w:color w:val="000000"/>
          <w:lang w:eastAsia="el-GR"/>
        </w:rPr>
      </w:pPr>
    </w:p>
    <w:p w:rsidR="001E5292" w:rsidRPr="001E5292" w:rsidRDefault="008F0B7D" w:rsidP="00EB6D35">
      <w:pPr>
        <w:pStyle w:val="a3"/>
        <w:numPr>
          <w:ilvl w:val="0"/>
          <w:numId w:val="1"/>
        </w:numPr>
        <w:jc w:val="both"/>
        <w:rPr>
          <w:rFonts w:eastAsia="Times New Roman" w:cs="Times New Roman"/>
          <w:color w:val="000000"/>
          <w:lang w:eastAsia="el-GR"/>
        </w:rPr>
      </w:pPr>
      <w:r w:rsidRPr="002843C4">
        <w:rPr>
          <w:rFonts w:eastAsia="Times New Roman" w:cs="Times New Roman"/>
          <w:color w:val="000000"/>
          <w:lang w:eastAsia="el-GR"/>
        </w:rPr>
        <w:t xml:space="preserve"> Τέλος</w:t>
      </w:r>
      <w:r w:rsidR="001E5292">
        <w:rPr>
          <w:rFonts w:eastAsia="Times New Roman" w:cs="Times New Roman"/>
          <w:color w:val="000000"/>
          <w:lang w:eastAsia="el-GR"/>
        </w:rPr>
        <w:t>, η</w:t>
      </w:r>
      <w:r w:rsidRPr="002843C4">
        <w:rPr>
          <w:rFonts w:eastAsia="Times New Roman" w:cs="Times New Roman"/>
          <w:color w:val="000000"/>
          <w:lang w:eastAsia="el-GR"/>
        </w:rPr>
        <w:t xml:space="preserve"> παροχή δικηγορικών  υπηρεσιών συναρτάται αρρήκτως με το </w:t>
      </w:r>
      <w:r w:rsidRPr="002843C4">
        <w:rPr>
          <w:rFonts w:eastAsia="Times New Roman" w:cs="Times New Roman"/>
          <w:b/>
          <w:color w:val="000000"/>
          <w:lang w:eastAsia="el-GR"/>
        </w:rPr>
        <w:t>δικαίωμα παροχής έννομης προ</w:t>
      </w:r>
      <w:r w:rsidR="002843C4">
        <w:rPr>
          <w:rFonts w:eastAsia="Times New Roman" w:cs="Times New Roman"/>
          <w:b/>
          <w:color w:val="000000"/>
          <w:lang w:eastAsia="el-GR"/>
        </w:rPr>
        <w:t>στ</w:t>
      </w:r>
      <w:r w:rsidRPr="002843C4">
        <w:rPr>
          <w:rFonts w:eastAsia="Times New Roman" w:cs="Times New Roman"/>
          <w:b/>
          <w:color w:val="000000"/>
          <w:lang w:eastAsia="el-GR"/>
        </w:rPr>
        <w:t>ασίας</w:t>
      </w:r>
      <w:r w:rsidRPr="002843C4">
        <w:rPr>
          <w:rFonts w:eastAsia="Times New Roman" w:cs="Times New Roman"/>
          <w:color w:val="000000"/>
          <w:lang w:eastAsia="el-GR"/>
        </w:rPr>
        <w:t xml:space="preserve"> των πολιτών πο</w:t>
      </w:r>
      <w:r w:rsidR="002843C4">
        <w:rPr>
          <w:rFonts w:eastAsia="Times New Roman" w:cs="Times New Roman"/>
          <w:color w:val="000000"/>
          <w:lang w:eastAsia="el-GR"/>
        </w:rPr>
        <w:t>υ έχει συνταγματική θεμελίωση (</w:t>
      </w:r>
      <w:r w:rsidRPr="002843C4">
        <w:rPr>
          <w:rFonts w:eastAsia="Times New Roman" w:cs="Times New Roman"/>
          <w:color w:val="000000"/>
          <w:lang w:eastAsia="el-GR"/>
        </w:rPr>
        <w:t>άρθρο 20 παρ. 1 Συντ.). Η επιβολή πρόσθετου κόστους στις συναλλαγές</w:t>
      </w:r>
      <w:r w:rsidR="002843C4">
        <w:rPr>
          <w:rFonts w:eastAsia="Times New Roman" w:cs="Times New Roman"/>
          <w:color w:val="000000"/>
          <w:lang w:eastAsia="el-GR"/>
        </w:rPr>
        <w:t xml:space="preserve"> των δικηγόρων</w:t>
      </w:r>
      <w:r w:rsidRPr="002843C4">
        <w:rPr>
          <w:rFonts w:eastAsia="Times New Roman" w:cs="Times New Roman"/>
          <w:color w:val="000000"/>
          <w:lang w:eastAsia="el-GR"/>
        </w:rPr>
        <w:t xml:space="preserve"> με τους εντολείς τους,</w:t>
      </w:r>
      <w:r w:rsidR="002843C4">
        <w:rPr>
          <w:rFonts w:eastAsia="Times New Roman" w:cs="Times New Roman"/>
          <w:color w:val="000000"/>
          <w:lang w:eastAsia="el-GR"/>
        </w:rPr>
        <w:t xml:space="preserve">  το οποίο θα αναγκαστούν</w:t>
      </w:r>
      <w:r w:rsidRPr="002843C4">
        <w:rPr>
          <w:rFonts w:eastAsia="Times New Roman" w:cs="Times New Roman"/>
          <w:color w:val="000000"/>
          <w:lang w:eastAsia="el-GR"/>
        </w:rPr>
        <w:t xml:space="preserve"> να </w:t>
      </w:r>
      <w:proofErr w:type="spellStart"/>
      <w:r w:rsidRPr="002843C4">
        <w:rPr>
          <w:rFonts w:eastAsia="Times New Roman" w:cs="Times New Roman"/>
          <w:color w:val="000000"/>
          <w:lang w:eastAsia="el-GR"/>
        </w:rPr>
        <w:t>μετακυλίσουν</w:t>
      </w:r>
      <w:proofErr w:type="spellEnd"/>
      <w:r w:rsidRPr="002843C4">
        <w:rPr>
          <w:rFonts w:eastAsia="Times New Roman" w:cs="Times New Roman"/>
          <w:color w:val="000000"/>
          <w:lang w:eastAsia="el-GR"/>
        </w:rPr>
        <w:t xml:space="preserve"> τους τελευταίους</w:t>
      </w:r>
      <w:r w:rsidR="001E5292">
        <w:rPr>
          <w:rFonts w:eastAsia="Times New Roman" w:cs="Times New Roman"/>
          <w:color w:val="000000"/>
          <w:lang w:eastAsia="el-GR"/>
        </w:rPr>
        <w:t>,</w:t>
      </w:r>
      <w:r w:rsidRPr="002843C4">
        <w:rPr>
          <w:rFonts w:eastAsia="Times New Roman" w:cs="Times New Roman"/>
          <w:color w:val="000000"/>
          <w:lang w:eastAsia="el-GR"/>
        </w:rPr>
        <w:t xml:space="preserve"> έχει ως συνέπεια αδικαιολόγητη</w:t>
      </w:r>
      <w:r w:rsidR="001E5292">
        <w:rPr>
          <w:rFonts w:eastAsia="Times New Roman" w:cs="Times New Roman"/>
          <w:color w:val="000000"/>
          <w:lang w:eastAsia="el-GR"/>
        </w:rPr>
        <w:t>,</w:t>
      </w:r>
      <w:r w:rsidRPr="002843C4">
        <w:rPr>
          <w:rFonts w:eastAsia="Times New Roman" w:cs="Times New Roman"/>
          <w:color w:val="000000"/>
          <w:lang w:eastAsia="el-GR"/>
        </w:rPr>
        <w:t xml:space="preserve"> πρόσθετη οικονομική επιβάρυνση</w:t>
      </w:r>
      <w:r w:rsidR="002843C4">
        <w:t xml:space="preserve"> κ</w:t>
      </w:r>
      <w:r w:rsidRPr="002843C4">
        <w:t xml:space="preserve">αι </w:t>
      </w:r>
      <w:proofErr w:type="spellStart"/>
      <w:r w:rsidRPr="002843C4">
        <w:t>δυσχέρανση</w:t>
      </w:r>
      <w:proofErr w:type="spellEnd"/>
      <w:r w:rsidRPr="002843C4">
        <w:t xml:space="preserve"> της πρόσβασης στην δικαιοσύνη  για τους πολίτες. Μάλιστα</w:t>
      </w:r>
      <w:r w:rsidR="002843C4">
        <w:t>,</w:t>
      </w:r>
      <w:r w:rsidRPr="002843C4">
        <w:t xml:space="preserve"> </w:t>
      </w:r>
      <w:r w:rsidR="002843C4">
        <w:t>η</w:t>
      </w:r>
      <w:r w:rsidRPr="002843C4">
        <w:t xml:space="preserve"> τοποθέτηση μέσου πληρωμής με κάρτα επιβαρύνει με παγίως καταβαλλόμενο ποσό  τον δικηγόρο</w:t>
      </w:r>
      <w:r w:rsidR="00CA065E">
        <w:t xml:space="preserve"> (μηνιαίως)</w:t>
      </w:r>
      <w:r w:rsidRPr="002843C4">
        <w:t xml:space="preserve">,  με αποτέλεσμα η </w:t>
      </w:r>
      <w:proofErr w:type="spellStart"/>
      <w:r w:rsidRPr="002843C4">
        <w:t>μετακύλιση</w:t>
      </w:r>
      <w:proofErr w:type="spellEnd"/>
      <w:r w:rsidRPr="002843C4">
        <w:t xml:space="preserve"> του κόστους να γίνεται σε όλους τους εντολείς του</w:t>
      </w:r>
      <w:r w:rsidR="002843C4">
        <w:t>,</w:t>
      </w:r>
      <w:r w:rsidRPr="002843C4">
        <w:t xml:space="preserve"> ακόμη δηλαδή και σε αυτούς που δεν επιλέγουν ν</w:t>
      </w:r>
      <w:r w:rsidR="002843C4">
        <w:t>α πληρώσουν</w:t>
      </w:r>
      <w:r w:rsidRPr="002843C4">
        <w:t xml:space="preserve"> με τη χρήση κάρτας</w:t>
      </w:r>
      <w:r w:rsidR="002843C4">
        <w:t xml:space="preserve">. </w:t>
      </w:r>
    </w:p>
    <w:p w:rsidR="001E5292" w:rsidRDefault="001E5292" w:rsidP="001E5292">
      <w:pPr>
        <w:jc w:val="both"/>
      </w:pPr>
    </w:p>
    <w:p w:rsidR="001E5292" w:rsidRDefault="002843C4" w:rsidP="001E5292">
      <w:pPr>
        <w:jc w:val="both"/>
      </w:pPr>
      <w:r>
        <w:t xml:space="preserve">Σημειώνεται ότι το εν λόγω </w:t>
      </w:r>
      <w:r w:rsidR="001E5292">
        <w:t xml:space="preserve">πρόσθετο </w:t>
      </w:r>
      <w:r>
        <w:t>κόστος</w:t>
      </w:r>
      <w:r w:rsidR="001E5292">
        <w:t xml:space="preserve">, λόγω της χρήσης </w:t>
      </w:r>
      <w:r w:rsidR="001E5292">
        <w:rPr>
          <w:lang w:val="en-US"/>
        </w:rPr>
        <w:t>POS</w:t>
      </w:r>
      <w:r w:rsidR="001E5292" w:rsidRPr="001E5292">
        <w:t>,</w:t>
      </w:r>
      <w:r>
        <w:t xml:space="preserve"> δεν πρέπει να αντιμετωπίζεται </w:t>
      </w:r>
      <w:r w:rsidR="001E5292">
        <w:t>ως αυτοτελές μέγεθος</w:t>
      </w:r>
      <w:r>
        <w:t>, αλλά αθροιστικώς με όλες τις υπόλοιπες χρηματικές επιβαρύνσεις</w:t>
      </w:r>
      <w:r w:rsidR="001E5292">
        <w:t>,</w:t>
      </w:r>
      <w:r>
        <w:t xml:space="preserve"> που έχουν αυξηθεί εκθετικά τα τελευταία χρόνια για την πρόσβαση στην δικαιοσύνη.</w:t>
      </w:r>
      <w:r w:rsidR="00EB6D35">
        <w:t xml:space="preserve"> </w:t>
      </w:r>
    </w:p>
    <w:p w:rsidR="00437A0F" w:rsidRPr="00437A0F" w:rsidRDefault="00437A0F" w:rsidP="001E5292">
      <w:pPr>
        <w:jc w:val="both"/>
      </w:pPr>
    </w:p>
    <w:p w:rsidR="00EB6D35" w:rsidRDefault="00EB6D35" w:rsidP="001E5292">
      <w:pPr>
        <w:jc w:val="both"/>
        <w:rPr>
          <w:rFonts w:eastAsia="Times New Roman" w:cs="Times New Roman"/>
          <w:color w:val="000000"/>
          <w:lang w:eastAsia="el-GR"/>
        </w:rPr>
      </w:pPr>
      <w:r>
        <w:t xml:space="preserve">Εξάλλου, οι δικηγόροι </w:t>
      </w:r>
      <w:r w:rsidR="001E5292">
        <w:t xml:space="preserve"> για την διεκπεραίωση της εντολής, </w:t>
      </w:r>
      <w:r>
        <w:t xml:space="preserve">λαμβάνουν </w:t>
      </w:r>
      <w:r w:rsidR="001E5292">
        <w:t xml:space="preserve">συχνά </w:t>
      </w:r>
      <w:r>
        <w:t xml:space="preserve">από </w:t>
      </w:r>
      <w:r w:rsidR="00CA16D3">
        <w:t>τους εντολείς</w:t>
      </w:r>
      <w:r>
        <w:t xml:space="preserve"> τους </w:t>
      </w:r>
      <w:r w:rsidR="001E5292">
        <w:t xml:space="preserve">χρηματικά </w:t>
      </w:r>
      <w:r>
        <w:t>ποσά</w:t>
      </w:r>
      <w:r w:rsidR="00CA16D3">
        <w:t xml:space="preserve"> </w:t>
      </w:r>
      <w:r w:rsidR="00AA55A2">
        <w:t xml:space="preserve">για την κάλυψη εξόδων </w:t>
      </w:r>
      <w:r w:rsidR="001E5292">
        <w:t xml:space="preserve">(και όχι ως αμοιβή), </w:t>
      </w:r>
      <w:r w:rsidR="008464C8">
        <w:t>τα οποία</w:t>
      </w:r>
      <w:r w:rsidR="001E5292">
        <w:t xml:space="preserve"> δεν νοείται να επιβαρύνονται με την παροχή προμήθειας προς τον</w:t>
      </w:r>
      <w:r w:rsidR="008464C8">
        <w:t xml:space="preserve"> εκάστοτε</w:t>
      </w:r>
      <w:r w:rsidR="001E5292">
        <w:t xml:space="preserve"> </w:t>
      </w:r>
      <w:proofErr w:type="spellStart"/>
      <w:r w:rsidR="001E5292" w:rsidRPr="002843C4">
        <w:rPr>
          <w:rFonts w:eastAsia="Times New Roman" w:cs="Times New Roman"/>
          <w:color w:val="000000"/>
          <w:lang w:eastAsia="el-GR"/>
        </w:rPr>
        <w:t>πάροχο</w:t>
      </w:r>
      <w:proofErr w:type="spellEnd"/>
      <w:r w:rsidR="001E5292" w:rsidRPr="002843C4">
        <w:rPr>
          <w:rFonts w:eastAsia="Times New Roman" w:cs="Times New Roman"/>
          <w:color w:val="000000"/>
          <w:lang w:eastAsia="el-GR"/>
        </w:rPr>
        <w:t xml:space="preserve"> υπηρεσιών πληρωμών</w:t>
      </w:r>
      <w:r w:rsidR="001E5292">
        <w:rPr>
          <w:rFonts w:eastAsia="Times New Roman" w:cs="Times New Roman"/>
          <w:color w:val="000000"/>
          <w:lang w:eastAsia="el-GR"/>
        </w:rPr>
        <w:t xml:space="preserve">. </w:t>
      </w:r>
    </w:p>
    <w:p w:rsidR="001E5292" w:rsidRDefault="001E5292" w:rsidP="001E5292">
      <w:pPr>
        <w:jc w:val="both"/>
        <w:rPr>
          <w:rFonts w:eastAsia="Times New Roman" w:cs="Times New Roman"/>
          <w:color w:val="000000"/>
          <w:lang w:eastAsia="el-GR"/>
        </w:rPr>
      </w:pPr>
    </w:p>
    <w:p w:rsidR="001E5292" w:rsidRPr="001E5292" w:rsidRDefault="001E5292" w:rsidP="001E5292">
      <w:pPr>
        <w:jc w:val="both"/>
        <w:rPr>
          <w:rFonts w:eastAsia="Times New Roman" w:cs="Times New Roman"/>
          <w:color w:val="000000"/>
          <w:lang w:eastAsia="el-GR"/>
        </w:rPr>
      </w:pPr>
      <w:r>
        <w:rPr>
          <w:rFonts w:eastAsia="Times New Roman" w:cs="Times New Roman"/>
          <w:color w:val="000000"/>
          <w:lang w:eastAsia="el-GR"/>
        </w:rPr>
        <w:t>Κατόπιν αυτών</w:t>
      </w:r>
      <w:r w:rsidR="00B446CA">
        <w:rPr>
          <w:rFonts w:eastAsia="Times New Roman" w:cs="Times New Roman"/>
          <w:color w:val="000000"/>
          <w:lang w:eastAsia="el-GR"/>
        </w:rPr>
        <w:t>,</w:t>
      </w:r>
      <w:r>
        <w:rPr>
          <w:rFonts w:eastAsia="Times New Roman" w:cs="Times New Roman"/>
          <w:color w:val="000000"/>
          <w:lang w:eastAsia="el-GR"/>
        </w:rPr>
        <w:t xml:space="preserve"> </w:t>
      </w:r>
      <w:r w:rsidR="00E93F3A">
        <w:rPr>
          <w:rFonts w:eastAsia="Times New Roman" w:cs="Times New Roman"/>
          <w:color w:val="000000"/>
          <w:lang w:eastAsia="el-GR"/>
        </w:rPr>
        <w:t>η Συντονιστική Επιτροπή Δικηγορικών Συλλόγων Ελλάδας</w:t>
      </w:r>
      <w:r>
        <w:rPr>
          <w:rFonts w:eastAsia="Times New Roman" w:cs="Times New Roman"/>
          <w:color w:val="000000"/>
          <w:lang w:eastAsia="el-GR"/>
        </w:rPr>
        <w:t xml:space="preserve"> δηλώνει την αντίθεσή </w:t>
      </w:r>
      <w:r w:rsidR="00E93F3A">
        <w:rPr>
          <w:rFonts w:eastAsia="Times New Roman" w:cs="Times New Roman"/>
          <w:color w:val="000000"/>
          <w:lang w:eastAsia="el-GR"/>
        </w:rPr>
        <w:t>της</w:t>
      </w:r>
      <w:r w:rsidR="0080702D">
        <w:rPr>
          <w:rFonts w:eastAsia="Times New Roman" w:cs="Times New Roman"/>
          <w:color w:val="000000"/>
          <w:lang w:eastAsia="el-GR"/>
        </w:rPr>
        <w:t xml:space="preserve"> με την </w:t>
      </w:r>
      <w:r w:rsidR="00E93F3A">
        <w:rPr>
          <w:rFonts w:eastAsia="Times New Roman" w:cs="Times New Roman"/>
          <w:color w:val="000000"/>
          <w:lang w:eastAsia="el-GR"/>
        </w:rPr>
        <w:t xml:space="preserve">καθιέρωση </w:t>
      </w:r>
      <w:r w:rsidR="0080702D">
        <w:rPr>
          <w:rFonts w:eastAsia="Times New Roman" w:cs="Times New Roman"/>
          <w:color w:val="000000"/>
          <w:lang w:eastAsia="el-GR"/>
        </w:rPr>
        <w:t>υποχρεωτική</w:t>
      </w:r>
      <w:r w:rsidR="00E93F3A">
        <w:rPr>
          <w:rFonts w:eastAsia="Times New Roman" w:cs="Times New Roman"/>
          <w:color w:val="000000"/>
          <w:lang w:eastAsia="el-GR"/>
        </w:rPr>
        <w:t xml:space="preserve">ς τοποθέτησης </w:t>
      </w:r>
      <w:r w:rsidR="00E93F3A">
        <w:rPr>
          <w:rFonts w:eastAsia="Times New Roman" w:cs="Times New Roman"/>
          <w:color w:val="000000"/>
          <w:lang w:val="en-US" w:eastAsia="el-GR"/>
        </w:rPr>
        <w:t>POS</w:t>
      </w:r>
      <w:r w:rsidR="00E93F3A" w:rsidRPr="00E93F3A">
        <w:rPr>
          <w:rFonts w:eastAsia="Times New Roman" w:cs="Times New Roman"/>
          <w:color w:val="000000"/>
          <w:lang w:eastAsia="el-GR"/>
        </w:rPr>
        <w:t xml:space="preserve"> </w:t>
      </w:r>
      <w:r w:rsidR="00090EB7">
        <w:rPr>
          <w:rFonts w:eastAsia="Times New Roman" w:cs="Times New Roman"/>
          <w:color w:val="000000"/>
          <w:lang w:eastAsia="el-GR"/>
        </w:rPr>
        <w:t>και</w:t>
      </w:r>
      <w:r w:rsidR="00E93F3A">
        <w:rPr>
          <w:rFonts w:eastAsia="Times New Roman" w:cs="Times New Roman"/>
          <w:color w:val="000000"/>
          <w:lang w:eastAsia="el-GR"/>
        </w:rPr>
        <w:t xml:space="preserve"> αποδοχής μέσων πληρωμής με κάρτα από τους δικηγόρους</w:t>
      </w:r>
      <w:r w:rsidR="00090EB7">
        <w:rPr>
          <w:rFonts w:eastAsia="Times New Roman" w:cs="Times New Roman"/>
          <w:color w:val="000000"/>
          <w:lang w:eastAsia="el-GR"/>
        </w:rPr>
        <w:t>,</w:t>
      </w:r>
      <w:r w:rsidR="00E93F3A">
        <w:rPr>
          <w:rFonts w:eastAsia="Times New Roman" w:cs="Times New Roman"/>
          <w:color w:val="000000"/>
          <w:lang w:eastAsia="el-GR"/>
        </w:rPr>
        <w:t xml:space="preserve"> και επιφυλάσσεται να προσφύγει δικαστικά προς τον σκοπό ακύρωσης της Κοινής Υπουργικής Απόφασης. </w:t>
      </w:r>
    </w:p>
    <w:sectPr w:rsidR="001E5292" w:rsidRPr="001E5292" w:rsidSect="004B7A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9A5"/>
    <w:multiLevelType w:val="hybridMultilevel"/>
    <w:tmpl w:val="65C4A0AE"/>
    <w:lvl w:ilvl="0" w:tplc="66D2E2C0">
      <w:start w:val="1"/>
      <w:numFmt w:val="decimal"/>
      <w:lvlText w:val="%1."/>
      <w:lvlJc w:val="left"/>
      <w:pPr>
        <w:ind w:left="720" w:hanging="360"/>
      </w:pPr>
      <w:rPr>
        <w:rFonts w:asciiTheme="minorHAnsi" w:eastAsiaTheme="minorHAnsi" w:hAnsiTheme="minorHAnsi" w:cstheme="minorBid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proofState w:spelling="clean" w:grammar="clean"/>
  <w:defaultTabStop w:val="720"/>
  <w:characterSpacingControl w:val="doNotCompress"/>
  <w:compat>
    <w:compatSetting w:name="compatibilityMode" w:uri="http://schemas.microsoft.com/office/word" w:val="12"/>
  </w:compat>
  <w:rsids>
    <w:rsidRoot w:val="009A2091"/>
    <w:rsid w:val="00090EB7"/>
    <w:rsid w:val="001E5292"/>
    <w:rsid w:val="002843C4"/>
    <w:rsid w:val="00437A0F"/>
    <w:rsid w:val="004B7A13"/>
    <w:rsid w:val="00536B74"/>
    <w:rsid w:val="006D6F3E"/>
    <w:rsid w:val="007B094C"/>
    <w:rsid w:val="007C09E8"/>
    <w:rsid w:val="007E71DE"/>
    <w:rsid w:val="0080435E"/>
    <w:rsid w:val="0080702D"/>
    <w:rsid w:val="008464C8"/>
    <w:rsid w:val="00846F0B"/>
    <w:rsid w:val="008E79DD"/>
    <w:rsid w:val="008F0B7D"/>
    <w:rsid w:val="0099506D"/>
    <w:rsid w:val="009A2091"/>
    <w:rsid w:val="00A65B69"/>
    <w:rsid w:val="00AA55A2"/>
    <w:rsid w:val="00B35D71"/>
    <w:rsid w:val="00B446CA"/>
    <w:rsid w:val="00BF4F06"/>
    <w:rsid w:val="00CA065E"/>
    <w:rsid w:val="00CA16D3"/>
    <w:rsid w:val="00D14625"/>
    <w:rsid w:val="00D847C6"/>
    <w:rsid w:val="00DA4BDA"/>
    <w:rsid w:val="00DA7F8D"/>
    <w:rsid w:val="00E93F3A"/>
    <w:rsid w:val="00EB6D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8D"/>
  </w:style>
  <w:style w:type="paragraph" w:styleId="2">
    <w:name w:val="heading 2"/>
    <w:basedOn w:val="a"/>
    <w:next w:val="a"/>
    <w:link w:val="2Char"/>
    <w:uiPriority w:val="9"/>
    <w:unhideWhenUsed/>
    <w:qFormat/>
    <w:rsid w:val="00AA55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3C4"/>
    <w:pPr>
      <w:ind w:left="720"/>
      <w:contextualSpacing/>
    </w:pPr>
  </w:style>
  <w:style w:type="character" w:customStyle="1" w:styleId="2Char">
    <w:name w:val="Επικεφαλίδα 2 Char"/>
    <w:basedOn w:val="a0"/>
    <w:link w:val="2"/>
    <w:uiPriority w:val="9"/>
    <w:rsid w:val="00AA55A2"/>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7648">
      <w:bodyDiv w:val="1"/>
      <w:marLeft w:val="0"/>
      <w:marRight w:val="0"/>
      <w:marTop w:val="0"/>
      <w:marBottom w:val="0"/>
      <w:divBdr>
        <w:top w:val="none" w:sz="0" w:space="0" w:color="auto"/>
        <w:left w:val="none" w:sz="0" w:space="0" w:color="auto"/>
        <w:bottom w:val="none" w:sz="0" w:space="0" w:color="auto"/>
        <w:right w:val="none" w:sz="0" w:space="0" w:color="auto"/>
      </w:divBdr>
    </w:div>
    <w:div w:id="820199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5125</Characters>
  <Application>Microsoft Office Word</Application>
  <DocSecurity>0</DocSecurity>
  <Lines>42</Lines>
  <Paragraphs>12</Paragraphs>
  <ScaleCrop>false</ScaleCrop>
  <HeadingPairs>
    <vt:vector size="4" baseType="variant">
      <vt:variant>
        <vt:lpstr>Τίτλος</vt:lpstr>
      </vt:variant>
      <vt:variant>
        <vt:i4>1</vt:i4>
      </vt:variant>
      <vt:variant>
        <vt:lpstr>Headings</vt:lpstr>
      </vt:variant>
      <vt:variant>
        <vt:i4>1</vt:i4>
      </vt:variant>
    </vt:vector>
  </HeadingPairs>
  <TitlesOfParts>
    <vt:vector size="2" baseType="lpstr">
      <vt:lpstr/>
      <vt:lpstr>    Νομικά ζητήματα από την καθιέρωση υποχρεωτικής τοποθέτησης και χρήσης POS από δι</vt:lpstr>
    </vt:vector>
  </TitlesOfParts>
  <Company>Hewlett-Packard Company</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User</cp:lastModifiedBy>
  <cp:revision>2</cp:revision>
  <dcterms:created xsi:type="dcterms:W3CDTF">2017-04-21T16:31:00Z</dcterms:created>
  <dcterms:modified xsi:type="dcterms:W3CDTF">2017-04-21T16:31:00Z</dcterms:modified>
</cp:coreProperties>
</file>